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10B5E" w14:textId="77777777" w:rsidR="00A76EE4" w:rsidRPr="00A76EE4" w:rsidRDefault="00A76EE4" w:rsidP="00A76EE4">
      <w:pPr>
        <w:rPr>
          <w:b/>
          <w:bCs/>
        </w:rPr>
      </w:pPr>
      <w:bookmarkStart w:id="0" w:name="_Toc168916469"/>
      <w:r w:rsidRPr="00A76EE4">
        <w:rPr>
          <w:b/>
          <w:bCs/>
        </w:rPr>
        <w:t>Projected Surface Fuels from Tree Mortality in the Sierra Nevada</w:t>
      </w:r>
      <w:bookmarkEnd w:id="0"/>
    </w:p>
    <w:p w14:paraId="49EDD1C4" w14:textId="77777777" w:rsidR="00A76EE4" w:rsidRPr="00A76EE4" w:rsidRDefault="00A76EE4" w:rsidP="00A76EE4">
      <w:r w:rsidRPr="00A76EE4">
        <w:t xml:space="preserve">Forest diebacks linked to extreme droughts are expected to increase as the climate dries and warms. An example is the 2012–2016 hotter drought in California that induced widespread tree mortality in the Sierra Nevada, California. The sudden increase in snags (i.e., standing dead trees) raised concerns about their impact on wildfire hazard and longer-term questions about their effect on ecosystem structure and function. WG2 quantified the likely progression of snag fall and fuel succession following the recent extensive mortality event in the southern Sierra Nevada mixed conifer forest. </w:t>
      </w:r>
    </w:p>
    <w:p w14:paraId="4B93A929" w14:textId="77777777" w:rsidR="00A76EE4" w:rsidRPr="00A76EE4" w:rsidRDefault="00A76EE4" w:rsidP="00A76EE4">
      <w:r w:rsidRPr="00A76EE4">
        <w:t xml:space="preserve">They used data from two complementary studies in Yosemite, Sequoia, and Kings Canyon national parks: the Drought Mortality Network and the Forest Demography Study (Study areas shown in Figure 2). The Drought Mortality Network installed tree and fuel inventory plots across the Sierra Nevada to monitor the consequences of the 2012-2016 drought mortality event (Axelson et al. 2019). A major objective of this monitoring effort was to quantify how recently dead trees influence fuel loads and fire hazard. The Forest Demography Study includes long-term forest plots where trees are censused annually for mortality and periodically for diameter growth (Das et al. 2016). To answer the questions posed, they integrated results from both datasets. They used the extensive, long-term snag database from the Forest Demography Study to develop high quality snag fall models. Results from the Drought Mortality Network allowed them to document the immediate and predict future impacts of drought-induced tree die-back. </w:t>
      </w:r>
    </w:p>
    <w:p w14:paraId="7ACD5F76" w14:textId="77777777" w:rsidR="00A76EE4" w:rsidRPr="00A76EE4" w:rsidRDefault="00A76EE4" w:rsidP="00A76EE4"/>
    <w:p w14:paraId="33D41C57" w14:textId="77777777" w:rsidR="00A76EE4" w:rsidRPr="00A76EE4" w:rsidRDefault="00A76EE4" w:rsidP="00A76EE4">
      <w:r w:rsidRPr="00A76EE4">
        <w:lastRenderedPageBreak/>
        <w:drawing>
          <wp:inline distT="0" distB="0" distL="0" distR="0" wp14:anchorId="11ABAF4A" wp14:editId="02705EC9">
            <wp:extent cx="5830428" cy="7545295"/>
            <wp:effectExtent l="19050" t="19050" r="18415" b="17780"/>
            <wp:docPr id="1200472496" name="Picture 1200472496" descr="A map of the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76671" name="Picture 1213776671" descr="A map of the fores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57130" cy="7579851"/>
                    </a:xfrm>
                    <a:prstGeom prst="rect">
                      <a:avLst/>
                    </a:prstGeom>
                    <a:ln>
                      <a:solidFill>
                        <a:schemeClr val="tx1"/>
                      </a:solidFill>
                    </a:ln>
                  </pic:spPr>
                </pic:pic>
              </a:graphicData>
            </a:graphic>
          </wp:inline>
        </w:drawing>
      </w:r>
    </w:p>
    <w:p w14:paraId="6B5013CA" w14:textId="77777777" w:rsidR="00A76EE4" w:rsidRPr="00A76EE4" w:rsidRDefault="00A76EE4" w:rsidP="00A76EE4">
      <w:pPr>
        <w:rPr>
          <w:i/>
          <w:iCs/>
        </w:rPr>
      </w:pPr>
      <w:r w:rsidRPr="00A76EE4">
        <w:rPr>
          <w:i/>
          <w:iCs/>
        </w:rPr>
        <w:lastRenderedPageBreak/>
        <w:t>Figure 2. Location of study areas and plots from the two datasets used in this study: the Forest Demography Study (0.9 to 2.5 ha) and Drought Mortality Monitoring plots (0.05 ha). Northrup et al. 2023).</w:t>
      </w:r>
    </w:p>
    <w:p w14:paraId="7A141295" w14:textId="77777777" w:rsidR="00A76EE4" w:rsidRPr="00A76EE4" w:rsidRDefault="00A76EE4" w:rsidP="00A76EE4">
      <w:r w:rsidRPr="00A76EE4">
        <w:t>In the short term (2017–2021), fine woody debris and litter plus duff significantly increased across all three Drought Mortality sites (&gt;145% and &gt;55%, respectively); coarse woody debris increased significantly at one site (48.6%); and total fuel loads increased significantly at two of the three sites (38% and 69%). Snag (standing dead trees) longevity increased with size, with the relationship varying by species. Yellow pine was a notable outlier: size played a small role in influencing its fall rates. Overall, species-specific snag fall rates in the southern Sierra Nevada were 20% to 40% slower than previously reported. By 2040, projected median cumulative inputs of biomass from future snag fall range from 49.4 Mg ha</w:t>
      </w:r>
      <w:r w:rsidRPr="00A76EE4">
        <w:rPr>
          <w:vertAlign w:val="superscript"/>
        </w:rPr>
        <w:t>− 1</w:t>
      </w:r>
      <w:r w:rsidRPr="00A76EE4">
        <w:t xml:space="preserve"> to 136.1 Mg ha</w:t>
      </w:r>
      <w:r w:rsidRPr="00A76EE4">
        <w:rPr>
          <w:vertAlign w:val="superscript"/>
        </w:rPr>
        <w:t>− 1</w:t>
      </w:r>
      <w:r w:rsidRPr="00A76EE4">
        <w:t xml:space="preserve"> across our three sites, which exceeds the amounts currently present (47.2 – 90.0 Mg ha</w:t>
      </w:r>
      <w:r w:rsidRPr="00A76EE4">
        <w:rPr>
          <w:vertAlign w:val="superscript"/>
        </w:rPr>
        <w:t>− 1</w:t>
      </w:r>
      <w:r w:rsidRPr="00A76EE4">
        <w:t>) and is well above estimates of historical coarse woody debris amounts in the Sierra Nevada (17.7 Mg ha</w:t>
      </w:r>
      <w:r w:rsidRPr="00A76EE4">
        <w:rPr>
          <w:vertAlign w:val="superscript"/>
        </w:rPr>
        <w:t>− 1</w:t>
      </w:r>
      <w:r w:rsidRPr="00A76EE4">
        <w:t xml:space="preserve">). These results provide a robust empirical basis to refine the snag fall algorithm in vegetation simulation models (e.g., </w:t>
      </w:r>
      <w:hyperlink r:id="rId6" w:history="1">
        <w:r w:rsidRPr="00A76EE4">
          <w:rPr>
            <w:rStyle w:val="Hyperlink"/>
          </w:rPr>
          <w:t>Forest Vegetation Simulator</w:t>
        </w:r>
      </w:hyperlink>
      <w:r w:rsidRPr="00A76EE4">
        <w:t xml:space="preserve"> [FVS]). Options to manage the impact of extreme number of snags and their large surface combustible biomass include salvage operations and prescribed burning, with both methods having operational, financial, and legal limitations that need to be considered. Additional details of this research can be found in Northrop et al. (2024).</w:t>
      </w:r>
    </w:p>
    <w:p w14:paraId="4D0EC4A9" w14:textId="77777777" w:rsidR="00A76EE4" w:rsidRPr="00A76EE4" w:rsidRDefault="00A76EE4" w:rsidP="00A76EE4">
      <w:r w:rsidRPr="00A76EE4">
        <w:t>To quantify how fuel loading varies as function of tree mortality, they used the models developed in Hudson et al. (2024) to estimate fuel accumulation rates across stands with different levels of drought mortality. They focused these efforts on one intensively studied landscape in Sequoia Kings Canyon National Parks (SEKI). Specifically, the area of interest (AOI) is a 17 km</w:t>
      </w:r>
      <w:r w:rsidRPr="00A76EE4">
        <w:rPr>
          <w:vertAlign w:val="superscript"/>
        </w:rPr>
        <w:t>2</w:t>
      </w:r>
      <w:r w:rsidRPr="00A76EE4">
        <w:t xml:space="preserve"> site dominated by Sierra Nevada mixed conifer forest. The AOI is located in the Kaweah River watershed in Sequoia National Park (approximately 36.76° N by 118.80° W) between 1,500m and 1,850m </w:t>
      </w:r>
      <w:commentRangeStart w:id="1"/>
      <w:commentRangeStart w:id="2"/>
      <w:r w:rsidRPr="00A76EE4">
        <w:t>elevation</w:t>
      </w:r>
      <w:commentRangeEnd w:id="1"/>
      <w:r w:rsidRPr="00A76EE4">
        <w:commentReference w:id="1"/>
      </w:r>
      <w:commentRangeEnd w:id="2"/>
      <w:r w:rsidRPr="00A76EE4">
        <w:commentReference w:id="2"/>
      </w:r>
      <w:r w:rsidRPr="00A76EE4">
        <w:t xml:space="preserve"> </w:t>
      </w:r>
      <w:r w:rsidRPr="00A76EE4">
        <w:rPr>
          <w:vertAlign w:val="superscript"/>
        </w:rPr>
        <w:fldChar w:fldCharType="begin" w:fldLock="1"/>
      </w:r>
      <w:r w:rsidRPr="00A76EE4">
        <w:instrText>ADDIN CSL_CITATION {"citationItems":[{"id":"ITEM-1","itemData":{"DOI":"10.1111/1365-2745.13176","ISSN":"13652745","abstract":"During drought, the tree subpopulations (such as size or vigour classes) that suffer disproportionate mortality can be conceptually arrayed along a continuum defined by the actions of biotic agents, particularly insects. At one extreme, stress dominates: insects are absent or simply kill the most physiologically stressed trees. At the opposite extreme, host selection dominates: outbreaking insects kill trees independently of their stress, instead selecting trees based on size or other traits. Intermediate responses are also possible. Yet for mixed-species forests, we lack a broad understanding of the relative importance of insects in determining exactly which subpopulations of trees suffer disproportionate mortality during drought, and whether these subpopulations differ among co-occurring tree species. During an extreme drought, we documented the roles of native bark beetles in the mortality of five tree species in California’s Sierra Nevada. We analysed the patterns and agents of tree mortality in 12 permanent plots and the patterns of mortality in 89 temporary plots. Most tree mortality was associated with bark beetles. However, the growth rates (an indicator of chronic stress) and sizes of trees that suffered greatest bark beetle-related mortality differed sharply among tree taxa, variously conforming with domination by stress (Abies concolor), domination by host selection (Pinus lambertiana and P. ponderosa) or a mix of the two (Calocedrus decurrens). Quercus kelloggii mortality remained relatively low. Thus, even during extreme drought substantial proportions of stressed trees survived because they were of sizes that mostly avoided fatal insect attack. Conversely, substantial proportions of comparatively unstressed trees died because they were of sizes that were selectively killed by outbreaking insects. Synthesis. Native bark beetles were primarily responsible for determining which subpopulations of trees suffered greatest mortality during drought. However, idiosyncratic host-tree selection by the different bark beetle taxa meant that the tree subpopulations suffering greatest mortality differed strikingly among tree taxa—for example, high mortality of small trees of one species, but of large trees of another. If idiosyncratic host-tree selection by biotic mortality agents proves to be a generally common phenomenon, it could help explain weak broadscale correlations between tree traits and tree mortality during drought.","author":[{"dropping-particle":"","family":"Stephenson","given":"Nathan L.","non-dropping-particle":"","parse-names":false,"suffix":""},{"dropping-particle":"","family":"Das","given":"Adrian J.","non-dropping-particle":"","parse-names":false,"suffix":""},{"dropping-particle":"","family":"Ampersee","given":"Nicholas J.","non-dropping-particle":"","parse-names":false,"suffix":""},{"dropping-particle":"","family":"Bulaon","given":"Beverly M.","non-dropping-particle":"","parse-names":false,"suffix":""},{"dropping-particle":"","family":"Yee","given":"Julie L.","non-dropping-particle":"","parse-names":false,"suffix":""}],"container-title":"Journal of Ecology","id":"ITEM-1","issue":"5","issued":{"date-parts":[["2019"]]},"note":"followup: which trees die after Rx fire? still insect-selected (big trees) or stress selected (small trees)? Does the size of the average insect-killed tree increase or decrease with time since fire? does this vary by species?","page":"2383-2401","title":"Which trees die during drought? The key role of insect host-tree selection","type":"article-journal","volume":"107"},"uris":["http://www.mendeley.com/documents/?uuid=d8a6e281-c347-4611-b383-37213f77f42c"]}],"mendeley":{"formattedCitation":"(Stephenson &lt;i&gt;et al.&lt;/i&gt;, 2019)","manualFormatting":"(Stephenson et al., 2019; Figure 1)","plainTextFormattedCitation":"(Stephenson et al., 2019)","previouslyFormattedCitation":"(Stephenson &lt;i&gt;et al.&lt;/i&gt;, 2019)"},"properties":{"noteIndex":0},"schema":"https://github.com/citation-style-language/schema/raw/master/csl-citation.json"}</w:instrText>
      </w:r>
      <w:r w:rsidRPr="00A76EE4">
        <w:rPr>
          <w:vertAlign w:val="superscript"/>
        </w:rPr>
        <w:fldChar w:fldCharType="separate"/>
      </w:r>
      <w:r w:rsidRPr="00A76EE4">
        <w:t xml:space="preserve">(Stephenson </w:t>
      </w:r>
      <w:r w:rsidRPr="00A76EE4">
        <w:rPr>
          <w:i/>
          <w:iCs/>
        </w:rPr>
        <w:t>et al.</w:t>
      </w:r>
      <w:r w:rsidRPr="00A76EE4">
        <w:t>, 2019; Figure 3)</w:t>
      </w:r>
      <w:r w:rsidRPr="00A76EE4">
        <w:fldChar w:fldCharType="end"/>
      </w:r>
      <w:r w:rsidRPr="00A76EE4">
        <w:t xml:space="preserve">. The climate is Mediterranean, with mean annual temperature approximately 10°C and annual precipitation of 110-140cm falling approximately half as snow </w:t>
      </w:r>
      <w:r w:rsidRPr="00A76EE4">
        <w:rPr>
          <w:vertAlign w:val="superscript"/>
        </w:rPr>
        <w:fldChar w:fldCharType="begin" w:fldLock="1"/>
      </w:r>
      <w:r w:rsidRPr="00A76EE4">
        <w:instrText>ADDIN CSL_CITATION {"citationItems":[{"id":"ITEM-1","itemData":{"DOI":"10.1111/1365-2745.13176","ISSN":"13652745","abstract":"During drought, the tree subpopulations (such as size or vigour classes) that suffer disproportionate mortality can be conceptually arrayed along a continuum defined by the actions of biotic agents, particularly insects. At one extreme, stress dominates: insects are absent or simply kill the most physiologically stressed trees. At the opposite extreme, host selection dominates: outbreaking insects kill trees independently of their stress, instead selecting trees based on size or other traits. Intermediate responses are also possible. Yet for mixed-species forests, we lack a broad understanding of the relative importance of insects in determining exactly which subpopulations of trees suffer disproportionate mortality during drought, and whether these subpopulations differ among co-occurring tree species. During an extreme drought, we documented the roles of native bark beetles in the mortality of five tree species in California’s Sierra Nevada. We analysed the patterns and agents of tree mortality in 12 permanent plots and the patterns of mortality in 89 temporary plots. Most tree mortality was associated with bark beetles. However, the growth rates (an indicator of chronic stress) and sizes of trees that suffered greatest bark beetle-related mortality differed sharply among tree taxa, variously conforming with domination by stress (Abies concolor), domination by host selection (Pinus lambertiana and P. ponderosa) or a mix of the two (Calocedrus decurrens). Quercus kelloggii mortality remained relatively low. Thus, even during extreme drought substantial proportions of stressed trees survived because they were of sizes that mostly avoided fatal insect attack. Conversely, substantial proportions of comparatively unstressed trees died because they were of sizes that were selectively killed by outbreaking insects. Synthesis. Native bark beetles were primarily responsible for determining which subpopulations of trees suffered greatest mortality during drought. However, idiosyncratic host-tree selection by the different bark beetle taxa meant that the tree subpopulations suffering greatest mortality differed strikingly among tree taxa—for example, high mortality of small trees of one species, but of large trees of another. If idiosyncratic host-tree selection by biotic mortality agents proves to be a generally common phenomenon, it could help explain weak broadscale correlations between tree traits and tree mortality during drought.","author":[{"dropping-particle":"","family":"Stephenson","given":"Nathan L.","non-dropping-particle":"","parse-names":false,"suffix":""},{"dropping-particle":"","family":"Das","given":"Adrian J.","non-dropping-particle":"","parse-names":false,"suffix":""},{"dropping-particle":"","family":"Ampersee","given":"Nicholas J.","non-dropping-particle":"","parse-names":false,"suffix":""},{"dropping-particle":"","family":"Bulaon","given":"Beverly M.","non-dropping-particle":"","parse-names":false,"suffix":""},{"dropping-particle":"","family":"Yee","given":"Julie L.","non-dropping-particle":"","parse-names":false,"suffix":""}],"container-title":"Journal of Ecology","id":"ITEM-1","issue":"5","issued":{"date-parts":[["2019"]]},"note":"followup: which trees die after Rx fire? still insect-selected (big trees) or stress selected (small trees)? Does the size of the average insect-killed tree increase or decrease with time since fire? does this vary by species?","page":"2383-2401","title":"Which trees die during drought? The key role of insect host-tree selection","type":"article-journal","volume":"107"},"uris":["http://www.mendeley.com/documents/?uuid=d8a6e281-c347-4611-b383-37213f77f42c"]}],"mendeley":{"formattedCitation":"(Stephenson &lt;i&gt;et al.&lt;/i&gt;, 2019)","plainTextFormattedCitation":"(Stephenson et al., 2019)","previouslyFormattedCitation":"(Stephenson &lt;i&gt;et al.&lt;/i&gt;, 2019)"},"properties":{"noteIndex":0},"schema":"https://github.com/citation-style-language/schema/raw/master/csl-citation.json"}</w:instrText>
      </w:r>
      <w:r w:rsidRPr="00A76EE4">
        <w:rPr>
          <w:vertAlign w:val="superscript"/>
        </w:rPr>
        <w:fldChar w:fldCharType="separate"/>
      </w:r>
      <w:r w:rsidRPr="00A76EE4">
        <w:t xml:space="preserve">(Stephenson </w:t>
      </w:r>
      <w:r w:rsidRPr="00A76EE4">
        <w:rPr>
          <w:i/>
        </w:rPr>
        <w:t>et al.</w:t>
      </w:r>
      <w:r w:rsidRPr="00A76EE4">
        <w:t>, 2019)</w:t>
      </w:r>
      <w:r w:rsidRPr="00A76EE4">
        <w:fldChar w:fldCharType="end"/>
      </w:r>
      <w:r w:rsidRPr="00A76EE4">
        <w:t xml:space="preserve">. Based on the </w:t>
      </w:r>
      <w:proofErr w:type="spellStart"/>
      <w:r w:rsidRPr="00A76EE4">
        <w:t>CALVEG</w:t>
      </w:r>
      <w:proofErr w:type="spellEnd"/>
      <w:r w:rsidRPr="00A76EE4">
        <w:t xml:space="preserve"> classification system </w:t>
      </w:r>
      <w:r w:rsidRPr="00A76EE4">
        <w:rPr>
          <w:vertAlign w:val="superscript"/>
        </w:rPr>
        <w:fldChar w:fldCharType="begin" w:fldLock="1"/>
      </w:r>
      <w:r w:rsidRPr="00A76EE4">
        <w:instrText>ADDIN CSL_CITATION {"citationItems":[{"id":"ITEM-1","itemData":{"URL":"https://www.fs.usda.gov/detail/r5/landmanagement/resourcemanagement/?cid=stelprdb5347192","accessed":{"date-parts":[["2022","2","11"]]},"container-title":"USDA Forest Service Region 5","id":"ITEM-1","issued":{"date-parts":[["2022"]]},"title":"Vegetation Classification and Mapping","type":"webpage"},"uris":["http://www.mendeley.com/documents/?uuid=f3909415-8700-471d-94f6-65898c98fb62"]}],"mendeley":{"formattedCitation":"(&lt;i&gt;Vegetation Classification and Mapping&lt;/i&gt;, 2022)","plainTextFormattedCitation":"(Vegetation Classification and Mapping, 2022)","previouslyFormattedCitation":"(&lt;i&gt;Vegetation Classification and Mapping&lt;/i&gt;, 2022)"},"properties":{"noteIndex":0},"schema":"https://github.com/citation-style-language/schema/raw/master/csl-citation.json"}</w:instrText>
      </w:r>
      <w:r w:rsidRPr="00A76EE4">
        <w:rPr>
          <w:vertAlign w:val="superscript"/>
        </w:rPr>
        <w:fldChar w:fldCharType="separate"/>
      </w:r>
      <w:r w:rsidRPr="00A76EE4">
        <w:rPr>
          <w:bCs/>
        </w:rPr>
        <w:t>(</w:t>
      </w:r>
      <w:r w:rsidRPr="00A76EE4">
        <w:rPr>
          <w:bCs/>
          <w:i/>
        </w:rPr>
        <w:t>Vegetation Classification and Mapping</w:t>
      </w:r>
      <w:r w:rsidRPr="00A76EE4">
        <w:rPr>
          <w:bCs/>
        </w:rPr>
        <w:t>, 2022)</w:t>
      </w:r>
      <w:r w:rsidRPr="00A76EE4">
        <w:fldChar w:fldCharType="end"/>
      </w:r>
      <w:r w:rsidRPr="00A76EE4">
        <w:t xml:space="preserve">, the AOI is dominated by the following vegetation alliances: “Mixed Conifer – Pine” (1,160 ha, 68% of the AOI), “Black Oak” (224 ha, 13%), and “Canyon Oak” (130ha, 8%). For this study, we restricted sampling to the “Mixed Conifer – Pine” alliance, the most widespread conifer alliance in the southern Sierra Nevada. Constituent species of this alliance are </w:t>
      </w:r>
      <w:commentRangeStart w:id="3"/>
      <w:r w:rsidRPr="00A76EE4">
        <w:t>ponderosa</w:t>
      </w:r>
      <w:commentRangeEnd w:id="3"/>
      <w:r w:rsidRPr="00A76EE4">
        <w:commentReference w:id="3"/>
      </w:r>
      <w:r w:rsidRPr="00A76EE4">
        <w:t xml:space="preserve"> pine (</w:t>
      </w:r>
      <w:r w:rsidRPr="00A76EE4">
        <w:rPr>
          <w:i/>
          <w:iCs/>
        </w:rPr>
        <w:t>Pinus ponderosa</w:t>
      </w:r>
      <w:r w:rsidRPr="00A76EE4">
        <w:t>) and sugar pine (</w:t>
      </w:r>
      <w:r w:rsidRPr="00A76EE4">
        <w:rPr>
          <w:i/>
          <w:iCs/>
        </w:rPr>
        <w:t xml:space="preserve">Pinus </w:t>
      </w:r>
      <w:proofErr w:type="spellStart"/>
      <w:r w:rsidRPr="00A76EE4">
        <w:rPr>
          <w:i/>
          <w:iCs/>
        </w:rPr>
        <w:t>lambertiana</w:t>
      </w:r>
      <w:proofErr w:type="spellEnd"/>
      <w:r w:rsidRPr="00A76EE4">
        <w:t>), alongside white fir (</w:t>
      </w:r>
      <w:r w:rsidRPr="00A76EE4">
        <w:rPr>
          <w:i/>
          <w:iCs/>
        </w:rPr>
        <w:t>Abies concolor</w:t>
      </w:r>
      <w:r w:rsidRPr="00A76EE4">
        <w:t>), incense-cedar (</w:t>
      </w:r>
      <w:proofErr w:type="spellStart"/>
      <w:r w:rsidRPr="00A76EE4">
        <w:rPr>
          <w:i/>
          <w:iCs/>
        </w:rPr>
        <w:t>Calocedrus</w:t>
      </w:r>
      <w:proofErr w:type="spellEnd"/>
      <w:r w:rsidRPr="00A76EE4">
        <w:rPr>
          <w:i/>
          <w:iCs/>
        </w:rPr>
        <w:t xml:space="preserve"> </w:t>
      </w:r>
      <w:proofErr w:type="spellStart"/>
      <w:r w:rsidRPr="00A76EE4">
        <w:rPr>
          <w:i/>
          <w:iCs/>
        </w:rPr>
        <w:t>decurrens</w:t>
      </w:r>
      <w:proofErr w:type="spellEnd"/>
      <w:r w:rsidRPr="00A76EE4">
        <w:t>), knobcone pine (</w:t>
      </w:r>
      <w:r w:rsidRPr="00A76EE4">
        <w:rPr>
          <w:i/>
          <w:iCs/>
        </w:rPr>
        <w:t xml:space="preserve">Pinus </w:t>
      </w:r>
      <w:proofErr w:type="spellStart"/>
      <w:r w:rsidRPr="00A76EE4">
        <w:rPr>
          <w:i/>
          <w:iCs/>
        </w:rPr>
        <w:t>attenuata</w:t>
      </w:r>
      <w:proofErr w:type="spellEnd"/>
      <w:r w:rsidRPr="00A76EE4">
        <w:t>), and various hardwoods such as black oak (</w:t>
      </w:r>
      <w:r w:rsidRPr="00A76EE4">
        <w:rPr>
          <w:i/>
          <w:iCs/>
        </w:rPr>
        <w:t xml:space="preserve">Quercus </w:t>
      </w:r>
      <w:proofErr w:type="spellStart"/>
      <w:r w:rsidRPr="00A76EE4">
        <w:rPr>
          <w:i/>
          <w:iCs/>
        </w:rPr>
        <w:t>kelloggii</w:t>
      </w:r>
      <w:proofErr w:type="spellEnd"/>
      <w:r w:rsidRPr="00A76EE4">
        <w:t>). Mountain misery (</w:t>
      </w:r>
      <w:proofErr w:type="spellStart"/>
      <w:r w:rsidRPr="00A76EE4">
        <w:rPr>
          <w:i/>
          <w:iCs/>
        </w:rPr>
        <w:t>Chamaebatia</w:t>
      </w:r>
      <w:proofErr w:type="spellEnd"/>
      <w:r w:rsidRPr="00A76EE4">
        <w:rPr>
          <w:i/>
          <w:iCs/>
        </w:rPr>
        <w:t xml:space="preserve"> </w:t>
      </w:r>
      <w:proofErr w:type="spellStart"/>
      <w:r w:rsidRPr="00A76EE4">
        <w:rPr>
          <w:i/>
          <w:iCs/>
        </w:rPr>
        <w:t>foliosa</w:t>
      </w:r>
      <w:proofErr w:type="spellEnd"/>
      <w:r w:rsidRPr="00A76EE4">
        <w:t>), whitethorn ceanothus (</w:t>
      </w:r>
      <w:proofErr w:type="spellStart"/>
      <w:r w:rsidRPr="00A76EE4">
        <w:rPr>
          <w:i/>
          <w:iCs/>
        </w:rPr>
        <w:t>Ceanaothus</w:t>
      </w:r>
      <w:proofErr w:type="spellEnd"/>
      <w:r w:rsidRPr="00A76EE4">
        <w:rPr>
          <w:i/>
          <w:iCs/>
        </w:rPr>
        <w:t xml:space="preserve"> </w:t>
      </w:r>
      <w:proofErr w:type="spellStart"/>
      <w:r w:rsidRPr="00A76EE4">
        <w:rPr>
          <w:i/>
          <w:iCs/>
        </w:rPr>
        <w:t>cordulatus</w:t>
      </w:r>
      <w:proofErr w:type="spellEnd"/>
      <w:r w:rsidRPr="00A76EE4">
        <w:t xml:space="preserve">), </w:t>
      </w:r>
      <w:proofErr w:type="spellStart"/>
      <w:r w:rsidRPr="00A76EE4">
        <w:t>whiteleaf</w:t>
      </w:r>
      <w:proofErr w:type="spellEnd"/>
      <w:r w:rsidRPr="00A76EE4">
        <w:t xml:space="preserve"> manzanita (</w:t>
      </w:r>
      <w:r w:rsidRPr="00A76EE4">
        <w:rPr>
          <w:i/>
          <w:iCs/>
        </w:rPr>
        <w:t xml:space="preserve">Arctostaphylos </w:t>
      </w:r>
      <w:proofErr w:type="spellStart"/>
      <w:r w:rsidRPr="00A76EE4">
        <w:rPr>
          <w:i/>
          <w:iCs/>
        </w:rPr>
        <w:t>viscida</w:t>
      </w:r>
      <w:proofErr w:type="spellEnd"/>
      <w:r w:rsidRPr="00A76EE4">
        <w:t xml:space="preserve"> ssp. </w:t>
      </w:r>
      <w:r w:rsidRPr="00A76EE4">
        <w:rPr>
          <w:i/>
          <w:iCs/>
        </w:rPr>
        <w:t>mariposa</w:t>
      </w:r>
      <w:r w:rsidRPr="00A76EE4">
        <w:t xml:space="preserve">), and </w:t>
      </w:r>
      <w:proofErr w:type="spellStart"/>
      <w:r w:rsidRPr="00A76EE4">
        <w:t>greenleaf</w:t>
      </w:r>
      <w:proofErr w:type="spellEnd"/>
      <w:r w:rsidRPr="00A76EE4">
        <w:t xml:space="preserve"> manzanita (</w:t>
      </w:r>
      <w:r w:rsidRPr="00A76EE4">
        <w:rPr>
          <w:i/>
          <w:iCs/>
        </w:rPr>
        <w:t xml:space="preserve">Arctostaphylos </w:t>
      </w:r>
      <w:proofErr w:type="spellStart"/>
      <w:r w:rsidRPr="00A76EE4">
        <w:rPr>
          <w:i/>
          <w:iCs/>
        </w:rPr>
        <w:t>patula</w:t>
      </w:r>
      <w:proofErr w:type="spellEnd"/>
      <w:r w:rsidRPr="00A76EE4">
        <w:t xml:space="preserve">) are important understory shrub species </w:t>
      </w:r>
      <w:r w:rsidRPr="00A76EE4">
        <w:rPr>
          <w:vertAlign w:val="superscript"/>
        </w:rPr>
        <w:fldChar w:fldCharType="begin" w:fldLock="1"/>
      </w:r>
      <w:r w:rsidRPr="00A76EE4">
        <w:instrText>ADDIN CSL_CITATION {"citationItems":[{"id":"ITEM-1","itemData":{"author":[{"dropping-particle":"","family":"USDA Forest Service","given":"","non-dropping-particle":"","parse-names":false,"suffix":""}],"id":"ITEM-1","issued":{"date-parts":[["2009"]]},"page":"1-24","title":"Vegetation Descriptions: South Sierran Ecological Province","type":"article"},"uris":["http://www.mendeley.com/documents/?uuid=5df3ccb2-7d5f-4c13-bc44-362f74c78ae5"]}],"mendeley":{"formattedCitation":"(USDA Forest Service, 2009)","plainTextFormattedCitation":"(USDA Forest Service, 2009)","previouslyFormattedCitation":"(USDA Forest Service, 2009)"},"properties":{"noteIndex":0},"schema":"https://github.com/citation-style-language/schema/raw/master/csl-citation.json"}</w:instrText>
      </w:r>
      <w:r w:rsidRPr="00A76EE4">
        <w:rPr>
          <w:vertAlign w:val="superscript"/>
        </w:rPr>
        <w:fldChar w:fldCharType="separate"/>
      </w:r>
      <w:r w:rsidRPr="00A76EE4">
        <w:rPr>
          <w:bCs/>
        </w:rPr>
        <w:t>(USDA Forest Service, 2009)</w:t>
      </w:r>
      <w:r w:rsidRPr="00A76EE4">
        <w:fldChar w:fldCharType="end"/>
      </w:r>
      <w:r w:rsidRPr="00A76EE4">
        <w:t xml:space="preserve">. </w:t>
      </w:r>
      <w:commentRangeStart w:id="4"/>
      <w:commentRangeStart w:id="5"/>
      <w:r w:rsidRPr="00A76EE4">
        <w:t xml:space="preserve">Mixed conifer forests across the southern Sierra Nevada experienced extensive tree mortality following a severe drought from 2012-2015 </w:t>
      </w:r>
      <w:r w:rsidRPr="00A76EE4">
        <w:rPr>
          <w:vertAlign w:val="superscript"/>
        </w:rPr>
        <w:fldChar w:fldCharType="begin" w:fldLock="1"/>
      </w:r>
      <w:r w:rsidRPr="00A76EE4">
        <w:instrText>ADDIN CSL_CITATION {"citationItems":[{"id":"ITEM-1","itemData":{"DOI":"10.1016/j.foreco.2018.09.006","ISSN":"03781127","abstract":"Much of California, U.S. experienced a severe drought in 2012–2015 inciting a large tree mortality event in the central and southern Sierra Nevada. We assessed causal agents and rates of tree mortality, and short-term impacts to forest structure and composition based on a network of 11.3-m fixed-radius plots installed within three elevation bands on the Eldorado, Stanislaus, Sierra and Sequoia National Forests (914–1219, 1219–1524 and 1524–1829 m on the Eldorado, Stanislaus, Sierra; 1219–1524, 1524–1829, and 1829–2134 m on the Sequoia), where tree mortality was most severe. About 48.9% of trees died between 2014 and 2017. Tree mortality ranged from 46.1 ± 3.3% on the Eldorado National Forest to 58.7 ± 3.7% on the Sierra National Forest. Significantly higher levels of tree mortality occurred in the low elevation band (60.4 ± 3.0%) compared to the high elevation band (46.1 ± 2.9%). Ponderosa pine, Pinus ponderosa Dougl. ex Laws., exhibited the highest levels of tree mortality (89.6%), with 39.4% of plots losing all P. ponderosa. Mortality of P. ponderosa was highest at the lowest elevations, concentrated in larger-diameter trees, and attributed primarily to colonization by western pine beetle, Dendroctonus brevicomis LeConte. About 89% of P. ponderosa in the three largest diameter classes were killed, representing loss of an important structural component of these forests with implications to wildlife species of conservation concern. Sugar pine, P. lambertiana Dougl., exhibited the second highest levels of tree mortality (48.1%). Mortality of P. lambertiana was concentrated in the mid-diameter classes and attributed primarily to colonization by mountain pine beetle, D. ponderosae Hopkins. White fir, Abies concolor (Gord. &amp; Glend.) Lindl. ex Hildebr., and incense cedar, Calocedrus decurrens (Torr.) Florin, exhibited 26.3% and 23.2% mortality, respectively. Only one Quercus died. Tree mortality (numbers of trees killed) was positively correlated with tree density and slope. A time lag was observed between the occurrence of drought and the majority of tree mortality. Tree regeneration (seedlings and saplings) was dominated by C. decurrens and Quercus spp., representing a potential long-term shift in composition from forests that were dominated by P. ponderosa. About 22.2% of plots contained plant species considered invasive, including cheatgrass, Bromus tectorum L., ripgut brome, Bromus diandrus Roth, bull thistle, Cirsium vulgare (Savi) Ten., and yellow sta…","author":[{"dropping-particle":"","family":"Fettig","given":"Christopher J.","non-dropping-particle":"","parse-names":false,"suffix":""},{"dropping-particle":"","family":"Mortenson","given":"Leif A.","non-dropping-particle":"","parse-names":false,"suffix":""},{"dropping-particle":"","family":"Bulaon","given":"Beverly M.","non-dropping-particle":"","parse-names":false,"suffix":""},{"dropping-particle":"","family":"Foulk","given":"Patra B.","non-dropping-particle":"","parse-names":false,"suffix":""}],"container-title":"Forest Ecology and Management","id":"ITEM-1","issue":"August 2018","issued":{"date-parts":[["2019"]]},"page":"164-178","title":"Tree mortality following drought in the central and southern Sierra Nevada, California, U.S.","type":"article-journal","volume":"432"},"uris":["http://www.mendeley.com/documents/?uuid=45dbf149-6ef3-4399-b560-f190b2178c40"]},{"id":"ITEM-2","itemData":{"DOI":"10.1093/biosci/bix146","ISBN":"0006-3568","ISSN":"0006-3568","abstract":"Massive tree mortality has occurred rapidly in frequent-fire-adapted forests of the Sierra Nevada, California. This mortality is a product of acute drought compounded by the long-established removal of a key ecosystem process: frequent, low- to moderate-intensity fire. The recent tree mortality has many implications for the future of these forests and the ecological goods and services they provide to society. Future wildfire hazard following this mortality can be generally characterized by decreased crown fire potential and increased surface fire intensity in the short to intermediate term. The scale of present tree mortality is so large that greater potential for “mass fire” exists in the coming decades, driven by the amount and continuity of dry, combustible, large woody material that could produce large, severe fires. For long-term adaptation to climate change, we highlight the importance of moving beyond triage of dead and dying trees to making “green” (live) forests more resilient.","author":[{"dropping-particle":"","family":"Stephens","given":"Scott L.","non-dropping-particle":"","parse-names":false,"suffix":""},{"dropping-particle":"","family":"Collins","given":"Brandon M.","non-dropping-particle":"","parse-names":false,"suffix":""},{"dropping-particle":"","family":"Fettig","given":"Christopher J.","non-dropping-particle":"","parse-names":false,"suffix":""},{"dropping-particle":"","family":"Finney","given":"Mark A.","non-dropping-particle":"","parse-names":false,"suffix":""},{"dropping-particle":"","family":"Hoffman","given":"Chad M.","non-dropping-particle":"","parse-names":false,"suffix":""},{"dropping-particle":"","family":"Knapp","given":"Eric E.","non-dropping-particle":"","parse-names":false,"suffix":""},{"dropping-particle":"","family":"North","given":"Malcolm P.","non-dropping-particle":"","parse-names":false,"suffix":""},{"dropping-particle":"","family":"Safford","given":"Hugh","non-dropping-particle":"","parse-names":false,"suffix":""},{"dropping-particle":"","family":"Wayman","given":"Rebecca B.","non-dropping-particle":"","parse-names":false,"suffix":""}],"container-title":"BioScience","id":"ITEM-2","issue":"2","issued":{"date-parts":[["2018"]]},"page":"77-88","title":"Drought, Tree Mortality, and Wildfire in Forests Adapted to Frequent Fire","type":"article-journal","volume":"68"},"uris":["http://www.mendeley.com/documents/?uuid=792fa56d-9c1a-4a9b-8d36-e91a440c96a2"]},{"id":"ITEM-3","itemData":{"DOI":"10.1111/1365-2745.13176","ISSN":"13652745","abstract":"During drought, the tree subpopulations (such as size or vigour classes) that suffer disproportionate mortality can be conceptually arrayed along a continuum defined by the actions of biotic agents, particularly insects. At one extreme, stress dominates: insects are absent or simply kill the most physiologically stressed trees. At the opposite extreme, host selection dominates: outbreaking insects kill trees independently of their stress, instead selecting trees based on size or other traits. Intermediate responses are also possible. Yet for mixed-species forests, we lack a broad understanding of the relative importance of insects in determining exactly which subpopulations of trees suffer disproportionate mortality during drought, and whether these subpopulations differ among co-occurring tree species. During an extreme drought, we documented the roles of native bark beetles in the mortality of five tree species in California’s Sierra Nevada. We analysed the patterns and agents of tree mortality in 12 permanent plots and the patterns of mortality in 89 temporary plots. Most tree mortality was associated with bark beetles. However, the growth rates (an indicator of chronic stress) and sizes of trees that suffered greatest bark beetle-related mortality differed sharply among tree taxa, variously conforming with domination by stress (Abies concolor), domination by host selection (Pinus lambertiana and P. ponderosa) or a mix of the two (Calocedrus decurrens). Quercus kelloggii mortality remained relatively low. Thus, even during extreme drought substantial proportions of stressed trees survived because they were of sizes that mostly avoided fatal insect attack. Conversely, substantial proportions of comparatively unstressed trees died because they were of sizes that were selectively killed by outbreaking insects. Synthesis. Native bark beetles were primarily responsible for determining which subpopulations of trees suffered greatest mortality during drought. However, idiosyncratic host-tree selection by the different bark beetle taxa meant that the tree subpopulations suffering greatest mortality differed strikingly among tree taxa—for example, high mortality of small trees of one species, but of large trees of another. If idiosyncratic host-tree selection by biotic mortality agents proves to be a generally common phenomenon, it could help explain weak broadscale correlations between tree traits and tree mortality during drought.","author":[{"dropping-particle":"","family":"Stephenson","given":"Nathan L.","non-dropping-particle":"","parse-names":false,"suffix":""},{"dropping-particle":"","family":"Das","given":"Adrian J.","non-dropping-particle":"","parse-names":false,"suffix":""},{"dropping-particle":"","family":"Ampersee","given":"Nicholas J.","non-dropping-particle":"","parse-names":false,"suffix":""},{"dropping-particle":"","family":"Bulaon","given":"Beverly M.","non-dropping-particle":"","parse-names":false,"suffix":""},{"dropping-particle":"","family":"Yee","given":"Julie L.","non-dropping-particle":"","parse-names":false,"suffix":""}],"container-title":"Journal of Ecology","id":"ITEM-3","issue":"5","issued":{"date-parts":[["2019"]]},"note":"followup: which trees die after Rx fire? still insect-selected (big trees) or stress selected (small trees)? Does the size of the average insect-killed tree increase or decrease with time since fire? does this vary by species?","page":"2383-2401","title":"Which trees die during drought? The key role of insect host-tree selection","type":"article-journal","volume":"107"},"uris":["http://www.mendeley.com/documents/?uuid=d8a6e281-c347-4611-b383-37213f77f42c"]},{"id":"ITEM-4","itemData":{"DOI":"10.1073/pnas.1523397113","ISBN":"0027-8424\\r1091-6490","ISSN":"0027-8424","PMID":"26712020","abstract":"The 2012-2015 drought has left California with severely reduced snowpack, soil moisture, ground water, and reservoir stocks, but the impact of this estimated millennial-scale event on forest health is unknown. We used airborne laser-guided spectroscopy and satellite-based models to assess losses in canopy water content of California's forests between 2011 and 2015. Approximately 10.6 million ha of forest containing up to 888 million large trees experienced measurable loss in canopy water content during this drought period. Severe canopy water losses of greater than 30% occurred over 1 million ha, affecting up to 58 million large trees. Our measurements exclude forests affected by fire between 2011 and 2015. If drought conditions continue or reoccur, even with temporary reprieves such as El Niño, we predict substantial future forest change.","author":[{"dropping-particle":"","family":"Asner","given":"Gregory P.","non-dropping-particle":"","parse-names":false,"suffix":""},{"dropping-particle":"","family":"Brodrick","given":"Philip G.","non-dropping-particle":"","parse-names":false,"suffix":""},{"dropping-particle":"","family":"Anderson","given":"Christopher B.","non-dropping-particle":"","parse-names":false,"suffix":""},{"dropping-particle":"","family":"Vaughn","given":"Nicholas","non-dropping-particle":"","parse-names":false,"suffix":""},{"dropping-particle":"","family":"Knapp","given":"David E.","non-dropping-particle":"","parse-names":false,"suffix":""},{"dropping-particle":"","family":"Martin","given":"Roberta E.","non-dropping-particle":"","parse-names":false,"suffix":""}],"container-title":"Proceedings of the National Academy of Sciences","id":"ITEM-4","issued":{"date-parts":[["2015"]]},"page":"201523397","title":"Progressive forest canopy water loss during the 2012–2015 California drought","type":"article-journal","volume":"2015"},"uris":["http://www.mendeley.com/documents/?uuid=ea9b51c1-945c-4324-8860-a6fa44011b5b"]}],"mendeley":{"formattedCitation":"(Asner &lt;i&gt;et al.&lt;/i&gt;, 2015; Stephens &lt;i&gt;et al.&lt;/i&gt;, 2018; Fettig &lt;i&gt;et al.&lt;/i&gt;, 2019; Stephenson &lt;i&gt;et al.&lt;/i&gt;, 2019)","plainTextFormattedCitation":"(Asner et al., 2015; Stephens et al., 2018; Fettig et al., 2019; Stephenson et al., 2019)","previouslyFormattedCitation":"(Asner &lt;i&gt;et al.&lt;/i&gt;, 2015; Stephens &lt;i&gt;et al.&lt;/i&gt;, 2018; Fettig &lt;i&gt;et al.&lt;/i&gt;, 2019; Stephenson &lt;i&gt;et al.&lt;/i&gt;, 2019)"},"properties":{"noteIndex":0},"schema":"https://github.com/citation-style-language/schema/raw/master/csl-citation.json"}</w:instrText>
      </w:r>
      <w:r w:rsidRPr="00A76EE4">
        <w:rPr>
          <w:vertAlign w:val="superscript"/>
        </w:rPr>
        <w:fldChar w:fldCharType="separate"/>
      </w:r>
      <w:r w:rsidRPr="00A76EE4">
        <w:t xml:space="preserve"> Fettig </w:t>
      </w:r>
      <w:r w:rsidRPr="00A76EE4">
        <w:rPr>
          <w:i/>
        </w:rPr>
        <w:t>et al.</w:t>
      </w:r>
      <w:r w:rsidRPr="00A76EE4">
        <w:t xml:space="preserve">, 2019; Stephenson </w:t>
      </w:r>
      <w:r w:rsidRPr="00A76EE4">
        <w:rPr>
          <w:i/>
        </w:rPr>
        <w:t>et al.</w:t>
      </w:r>
      <w:r w:rsidRPr="00A76EE4">
        <w:t>, 2019)</w:t>
      </w:r>
      <w:r w:rsidRPr="00A76EE4">
        <w:fldChar w:fldCharType="end"/>
      </w:r>
      <w:r w:rsidRPr="00A76EE4">
        <w:t>.</w:t>
      </w:r>
      <w:commentRangeEnd w:id="4"/>
      <w:r w:rsidRPr="00A76EE4">
        <w:commentReference w:id="4"/>
      </w:r>
      <w:commentRangeEnd w:id="5"/>
      <w:r w:rsidRPr="00A76EE4">
        <w:commentReference w:id="5"/>
      </w:r>
    </w:p>
    <w:p w14:paraId="4A9B741D" w14:textId="77777777" w:rsidR="00A76EE4" w:rsidRPr="00A76EE4" w:rsidRDefault="00A76EE4" w:rsidP="00A76EE4">
      <w:r w:rsidRPr="00A76EE4">
        <w:lastRenderedPageBreak/>
        <w:drawing>
          <wp:inline distT="0" distB="0" distL="0" distR="0" wp14:anchorId="2BF101A3" wp14:editId="29C48848">
            <wp:extent cx="5874987" cy="4067299"/>
            <wp:effectExtent l="19050" t="19050" r="12065" b="9525"/>
            <wp:docPr id="1" name="Picture 1"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the united stat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9187" cy="4070207"/>
                    </a:xfrm>
                    <a:prstGeom prst="rect">
                      <a:avLst/>
                    </a:prstGeom>
                    <a:ln>
                      <a:solidFill>
                        <a:schemeClr val="tx1"/>
                      </a:solidFill>
                    </a:ln>
                  </pic:spPr>
                </pic:pic>
              </a:graphicData>
            </a:graphic>
          </wp:inline>
        </w:drawing>
      </w:r>
    </w:p>
    <w:p w14:paraId="48C26BE1" w14:textId="77777777" w:rsidR="00A76EE4" w:rsidRPr="00A76EE4" w:rsidRDefault="00A76EE4" w:rsidP="00A76EE4">
      <w:pPr>
        <w:rPr>
          <w:i/>
          <w:iCs/>
        </w:rPr>
      </w:pPr>
      <w:bookmarkStart w:id="6" w:name="_Ref118278662"/>
      <w:r w:rsidRPr="00A76EE4">
        <w:rPr>
          <w:i/>
          <w:iCs/>
        </w:rPr>
        <w:t>Figure 3</w:t>
      </w:r>
      <w:bookmarkEnd w:id="6"/>
      <w:r w:rsidRPr="00A76EE4">
        <w:rPr>
          <w:i/>
          <w:iCs/>
        </w:rPr>
        <w:t>. Area of interest, drought mortality classes, and plot locations. Area of interest (</w:t>
      </w:r>
      <w:proofErr w:type="spellStart"/>
      <w:r w:rsidRPr="00A76EE4">
        <w:rPr>
          <w:i/>
          <w:iCs/>
        </w:rPr>
        <w:t>CALVEG</w:t>
      </w:r>
      <w:proofErr w:type="spellEnd"/>
      <w:r w:rsidRPr="00A76EE4">
        <w:rPr>
          <w:i/>
          <w:iCs/>
        </w:rPr>
        <w:t xml:space="preserve">-mapped mixed conifer forest - pine from 1,500-1,850 m elevation) shown with colors indicating the level of cumulative drought mortality from </w:t>
      </w:r>
      <w:commentRangeStart w:id="7"/>
      <w:commentRangeStart w:id="8"/>
      <w:r w:rsidRPr="00A76EE4">
        <w:rPr>
          <w:i/>
          <w:iCs/>
        </w:rPr>
        <w:t xml:space="preserve">2012-2016 </w:t>
      </w:r>
      <w:commentRangeEnd w:id="7"/>
      <w:r w:rsidRPr="00A76EE4">
        <w:rPr>
          <w:i/>
          <w:iCs/>
        </w:rPr>
        <w:commentReference w:id="7"/>
      </w:r>
      <w:commentRangeEnd w:id="8"/>
      <w:r w:rsidRPr="00A76EE4">
        <w:rPr>
          <w:i/>
          <w:iCs/>
        </w:rPr>
        <w:commentReference w:id="8"/>
      </w:r>
      <w:r w:rsidRPr="00A76EE4">
        <w:rPr>
          <w:i/>
          <w:iCs/>
        </w:rPr>
        <w:t xml:space="preserve">as mapped by the (smoothed) </w:t>
      </w:r>
      <w:proofErr w:type="spellStart"/>
      <w:r w:rsidRPr="00A76EE4">
        <w:rPr>
          <w:i/>
          <w:iCs/>
        </w:rPr>
        <w:t>eDaRT</w:t>
      </w:r>
      <w:proofErr w:type="spellEnd"/>
      <w:r w:rsidRPr="00A76EE4">
        <w:rPr>
          <w:i/>
          <w:iCs/>
        </w:rPr>
        <w:t xml:space="preserve"> data product. Plot locations shown as black points. Plots were randomly located within the core area of each zone of drought mortality and limited to locations 50-600m from a road or trail. Inset shows position of the study site within California state boundaries. Foster (2023).</w:t>
      </w:r>
    </w:p>
    <w:p w14:paraId="65B16D6E" w14:textId="77777777" w:rsidR="00A76EE4" w:rsidRPr="00A76EE4" w:rsidRDefault="00A76EE4" w:rsidP="00A76EE4"/>
    <w:p w14:paraId="62BFF4DE" w14:textId="77777777" w:rsidR="00A76EE4" w:rsidRPr="00A76EE4" w:rsidRDefault="00A76EE4" w:rsidP="00A76EE4">
      <w:r w:rsidRPr="00A76EE4">
        <w:t>Geospatial analysis of remote sensing data was used to randomly place</w:t>
      </w:r>
      <w:commentRangeStart w:id="9"/>
      <w:r w:rsidRPr="00A76EE4">
        <w:t xml:space="preserve"> twenty-one </w:t>
      </w:r>
      <w:commentRangeEnd w:id="9"/>
      <w:r w:rsidRPr="00A76EE4">
        <w:commentReference w:id="9"/>
      </w:r>
      <w:r w:rsidRPr="00A76EE4">
        <w:t>inventory plots across three levels of drought mortality severity within the AOI using a random stratified sampling design. Drought mortality severity was assessed using the magnitude of mortality index (MMI) data product from the Ecosystem Disturbance and Recovery Tracker (</w:t>
      </w:r>
      <w:proofErr w:type="spellStart"/>
      <w:r w:rsidRPr="00A76EE4">
        <w:t>eDaRT</w:t>
      </w:r>
      <w:proofErr w:type="spellEnd"/>
      <w:r w:rsidRPr="00A76EE4">
        <w:t xml:space="preserve">) system. </w:t>
      </w:r>
      <w:proofErr w:type="spellStart"/>
      <w:r w:rsidRPr="00A76EE4">
        <w:t>eDaRT</w:t>
      </w:r>
      <w:proofErr w:type="spellEnd"/>
      <w:r w:rsidRPr="00A76EE4">
        <w:t xml:space="preserve"> uses a time series of LANDSAT data to detect and quantify mortality events of overstory vegetation </w:t>
      </w:r>
      <w:r w:rsidRPr="00A76EE4">
        <w:rPr>
          <w:vertAlign w:val="superscript"/>
        </w:rPr>
        <w:fldChar w:fldCharType="begin" w:fldLock="1"/>
      </w:r>
      <w:r w:rsidRPr="00A76EE4">
        <w:instrText>ADDIN CSL_CITATION {"citationItems":[{"id":"ITEM-1","itemData":{"DOI":"10.1016/j.rse.2019.111482","ISSN":"00344257","abstract":"The worldwide demand for timely and accurate information about ecosystem dynamics at Landsat spatial scale is growing and as of today still exceeds the availability of information. The diversity of required disturbance metrics and trade-offs between sensitivity, reliability, timelines of information generation, and flexibility toward potential customizations suggests that a single system is not likely to fill such demand in the near future. To address this challenge, the scientific community has been developing and improving various Landsat-based algorithms for land change monitoring. We describe the Ecosystem Disturbance and Recovery Tracker (eDaRT) version 2.9 — a highly automated prototype system in continuous development, which has been operated since 2012 by the USDA Forest Service Pacific Southwest Region to generate most current disturbance maps at Landsat scale and provide customized information services and inputs to science and land management applications in the Region. The eDaRT processing system utilizes all three dimensions of dense Landsat image time series: spectral, temporal, and spatial. Two anomaly detection algorithms are sequentially applied, one estimating pixels’ disturbance status metrics in every processed image and the other detecting disturbance events, the primary output of eDaRT. The first algorithm initially estimates change relative to a user-defined fixed baseline time period, using a stratified version of the Dynamic Detection Model (DDM; Koltunov et al., 2009) applied to Landsat bands and vegetation indexes that reflect canopy greenness, abundance, and moisture content. Using the model residuals and a probabilistic context analysis, the detected anomalies are further classified as disturbed, cloud/snow, or recovered. The resulting residuals, classification maps, and the associated disturbance confidence values provide the most rapid preliminary snapshot of the current cumulative effect of disturbance and regeneration. The second algorithm detects discrete disturbance events as regime changes in the dense time series of the residuals for each pixel. First, the residuals are compared against a recent baseline window and classified to find candidates for disturbance events. Next, candidate-events are accepted based on temporal consistency of their detection. The standard outputs from this algorithm include disturbance event timing (down to 8–16 day precision) and a detection confidence as a proxy for event magnitude. We in…","author":[{"dropping-particle":"","family":"Koltunov","given":"Alexander","non-dropping-particle":"","parse-names":false,"suffix":""},{"dropping-particle":"","family":"Ramirez","given":"Carlos M.","non-dropping-particle":"","parse-names":false,"suffix":""},{"dropping-particle":"","family":"Ustin","given":"Susan L.","non-dropping-particle":"","parse-names":false,"suffix":""},{"dropping-particle":"","family":"Slaton","given":"Michèle","non-dropping-particle":"","parse-names":false,"suffix":""},{"dropping-particle":"","family":"Haunreiter","given":"Erik","non-dropping-particle":"","parse-names":false,"suffix":""}],"container-title":"Remote Sensing of Environment","id":"ITEM-1","issue":"September 2019","issued":{"date-parts":[["2020"]]},"page":"111482","publisher":"Elsevier","title":"eDaRT: The Ecosystem Disturbance and Recovery Tracker system for monitoring landscape disturbances and their cumulative effects","type":"article-journal","volume":"238"},"uris":["http://www.mendeley.com/documents/?uuid=b7451df4-cf54-45c2-8459-d46308b71d63"]}],"mendeley":{"formattedCitation":"(Koltunov &lt;i&gt;et al.&lt;/i&gt;, 2020)","plainTextFormattedCitation":"(Koltunov et al., 2020)","previouslyFormattedCitation":"(Koltunov &lt;i&gt;et al.&lt;/i&gt;, 2020)"},"properties":{"noteIndex":0},"schema":"https://github.com/citation-style-language/schema/raw/master/csl-citation.json"}</w:instrText>
      </w:r>
      <w:r w:rsidRPr="00A76EE4">
        <w:rPr>
          <w:vertAlign w:val="superscript"/>
        </w:rPr>
        <w:fldChar w:fldCharType="separate"/>
      </w:r>
      <w:r w:rsidRPr="00A76EE4">
        <w:t>(</w:t>
      </w:r>
      <w:proofErr w:type="spellStart"/>
      <w:r w:rsidRPr="00A76EE4">
        <w:t>Koltunov</w:t>
      </w:r>
      <w:proofErr w:type="spellEnd"/>
      <w:r w:rsidRPr="00A76EE4">
        <w:t xml:space="preserve"> </w:t>
      </w:r>
      <w:r w:rsidRPr="00A76EE4">
        <w:rPr>
          <w:i/>
        </w:rPr>
        <w:t>et al.</w:t>
      </w:r>
      <w:r w:rsidRPr="00A76EE4">
        <w:t>, 2020)</w:t>
      </w:r>
      <w:r w:rsidRPr="00A76EE4">
        <w:fldChar w:fldCharType="end"/>
      </w:r>
      <w:r w:rsidRPr="00A76EE4">
        <w:t xml:space="preserve">. MMI provides an estimate of cumulative overstory percent-cover mortality at a 30m resolution for a specific 5-year period. Given the importance of drought-induced mortality, they used the 5-year period that bracketed the start and end of the historic hotter drought in California, namely 2012 - 2016 </w:t>
      </w:r>
      <w:r w:rsidRPr="00A76EE4">
        <w:rPr>
          <w:vertAlign w:val="superscript"/>
        </w:rPr>
        <w:fldChar w:fldCharType="begin" w:fldLock="1"/>
      </w:r>
      <w:r w:rsidRPr="00A76EE4">
        <w:instrText>ADDIN CSL_CITATION {"citationItems":[{"id":"ITEM-1","itemData":{"DOI":"10.1016/j.foreco.2017.10.053","ISSN":"03781127","abstract":"Hotter droughts – droughts in which unusually high temperatures exacerbate the effects of low precipitation – are expected to increase in frequency and severity in coming decades, challenging scientists and managers to identify which parts of forested landscapes may be most vulnerable. In 2014, in the middle of California's historically unprecedented 2012–2016 hotter drought, we noticed apparently drought-induced foliage dieback in giant sequoias (Sequoiadendron giganteum Lindl. [Buchholz]) in Sequoia and Kings Canyon national parks, California. Characteristics of the dieback were consistent with a controlled process of drought-induced senescence: younger (distal) shoots remained green while older (proximal) shoots were preferentially shed. As part of an ongoing interdisciplinary effort to understand and map sequoia vulnerability to hotter droughts, we reviewed historical records for evidence of previous foliage dieback events, surveyed dieback along trail corridors in eight sequoia groves, and analyzed tree-ring data from a high- and a low-foliage-dieback area. In sharp contrast to the greatly elevated mortality of other coniferous species found at low and middle elevations, we estimate that &lt;1% of sequoias died during the drought. Foliage dieback was notably elevated in 2014 – the most severe single drought year in our 122-year record – but much lower in subsequent years. We found no historical records of similar foliage dieback during previous droughts. Dieback in 2014 was highly variable both within and among groves, ranging from virtually no dieback in some areas to nearly 50% in others. Dieback was highest (1) at low elevations, probably due to higher temperatures, reduced snowpack, and earlier snowmelt; (2) in areas of low adult sequoia densities, which likely reflect intrinsically more stressful sites; and (3) on steep slopes, probably reflecting reduced water availability. Average sequoia ring widths were narrower at the high-dieback than the low-dieback tree-ring site, but for reasons that remain unclear the sites did not differ in their proportional ring-width responses to past droughts. Collectively, our results suggest that giant sequoia vulnerability to hotter droughts may be spatially quite variable, and that at least some of that variability can be explained by metrics related to site water balance. Future research will focus on integrating our results with physiological and remote-sensing data, including tracking sequoias as they recove…","author":[{"dropping-particle":"","family":"Stephenson","given":"Nathan L.","non-dropping-particle":"","parse-names":false,"suffix":""},{"dropping-particle":"","family":"Das","given":"Adrian J.","non-dropping-particle":"","parse-names":false,"suffix":""},{"dropping-particle":"","family":"Ampersee","given":"Nicholas J.","non-dropping-particle":"","parse-names":false,"suffix":""},{"dropping-particle":"","family":"Cahill","given":"Kathleen G.","non-dropping-particle":"","parse-names":false,"suffix":""},{"dropping-particle":"","family":"Caprio","given":"Anthony C.","non-dropping-particle":"","parse-names":false,"suffix":""},{"dropping-particle":"","family":"Sanders","given":"John E.","non-dropping-particle":"","parse-names":false,"suffix":""},{"dropping-particle":"","family":"Williams","given":"A. Park","non-dropping-particle":"","parse-names":false,"suffix":""}],"container-title":"Forest Ecology and Management","id":"ITEM-1","issue":"November 2017","issued":{"date-parts":[["2018"]]},"page":"268-278","publisher":"Elsevier","title":"Patterns and correlates of giant sequoia foliage dieback during California's 2012–2016 hotter drought","type":"article-journal","volume":"419-420"},"uris":["http://www.mendeley.com/documents/?uuid=e9c704ce-9f7e-45f2-92a1-2a4969ba1ad5"]}],"mendeley":{"formattedCitation":"(Stephenson &lt;i&gt;et al.&lt;/i&gt;, 2018)","plainTextFormattedCitation":"(Stephenson et al., 2018)","previouslyFormattedCitation":"(Stephenson &lt;i&gt;et al.&lt;/i&gt;, 2018)"},"properties":{"noteIndex":0},"schema":"https://github.com/citation-style-language/schema/raw/master/csl-citation.json"}</w:instrText>
      </w:r>
      <w:r w:rsidRPr="00A76EE4">
        <w:rPr>
          <w:vertAlign w:val="superscript"/>
        </w:rPr>
        <w:fldChar w:fldCharType="separate"/>
      </w:r>
      <w:r w:rsidRPr="00A76EE4">
        <w:t xml:space="preserve">(Stephenson </w:t>
      </w:r>
      <w:r w:rsidRPr="00A76EE4">
        <w:rPr>
          <w:i/>
        </w:rPr>
        <w:t>et al.</w:t>
      </w:r>
      <w:r w:rsidRPr="00A76EE4">
        <w:t>, 2018)</w:t>
      </w:r>
      <w:r w:rsidRPr="00A76EE4">
        <w:fldChar w:fldCharType="end"/>
      </w:r>
      <w:r w:rsidRPr="00A76EE4">
        <w:t>. The MMI raster was smoothed by taking the mean over a 90m-by-90m window and clipped to just the Mixed Conifer – Pine vegetation alliance. Continuous MMI values were binned into low (&lt;25</w:t>
      </w:r>
      <w:r w:rsidRPr="00A76EE4">
        <w:rPr>
          <w:vertAlign w:val="superscript"/>
        </w:rPr>
        <w:t>th</w:t>
      </w:r>
      <w:r w:rsidRPr="00A76EE4">
        <w:t xml:space="preserve"> percentile, 0-7% cumulative mortality), medium (25-75</w:t>
      </w:r>
      <w:r w:rsidRPr="00A76EE4">
        <w:rPr>
          <w:vertAlign w:val="superscript"/>
        </w:rPr>
        <w:t>th</w:t>
      </w:r>
      <w:r w:rsidRPr="00A76EE4">
        <w:t xml:space="preserve"> percentile, 7-18% cumulative mortality), and high (&gt;75</w:t>
      </w:r>
      <w:r w:rsidRPr="00A76EE4">
        <w:rPr>
          <w:vertAlign w:val="superscript"/>
        </w:rPr>
        <w:t>th</w:t>
      </w:r>
      <w:r w:rsidRPr="00A76EE4">
        <w:t xml:space="preserve"> percentile, 18-100% cumulative </w:t>
      </w:r>
      <w:r w:rsidRPr="00A76EE4">
        <w:lastRenderedPageBreak/>
        <w:t>mortality) categories (</w:t>
      </w:r>
      <w:r w:rsidRPr="00A76EE4">
        <w:fldChar w:fldCharType="begin"/>
      </w:r>
      <w:r w:rsidRPr="00A76EE4">
        <w:instrText xml:space="preserve"> REF _Ref118278662 \h  \* MERGEFORMAT </w:instrText>
      </w:r>
      <w:r w:rsidRPr="00A76EE4">
        <w:fldChar w:fldCharType="separate"/>
      </w:r>
      <w:r w:rsidRPr="00A76EE4">
        <w:t>Figure 3</w:t>
      </w:r>
      <w:r w:rsidRPr="00A76EE4">
        <w:fldChar w:fldCharType="end"/>
      </w:r>
      <w:r w:rsidRPr="00A76EE4">
        <w:t xml:space="preserve">). Finally, pixels of the same category were aggregated into polygons and a 30m inward buffer on each polygon was used to identify core zones of each mortality class. </w:t>
      </w:r>
    </w:p>
    <w:p w14:paraId="7921D5AA" w14:textId="77777777" w:rsidR="00A76EE4" w:rsidRPr="00A76EE4" w:rsidRDefault="00A76EE4" w:rsidP="00A76EE4">
      <w:r w:rsidRPr="00A76EE4">
        <w:t>They summarized contemporary fuel loads (2021) and projected fuel input (</w:t>
      </w:r>
      <w:r w:rsidRPr="00A76EE4">
        <w:rPr>
          <w:i/>
          <w:iCs/>
        </w:rPr>
        <w:t>sensu</w:t>
      </w:r>
      <w:r w:rsidRPr="00A76EE4">
        <w:t xml:space="preserve"> Northrup et al. 2024) by mortality class using plots in our Drought Mortality Plot Network.  In our AOI, approximately 25% of the mixed conifer forest was in the low and high mortality classes; the remaining 50% was in the medium mortality class (Table 1). The distribution of plots roughly followed the distribution of mortality classes: they had 9 plots each in the low and high mortality areas and 13 in the medium mortality areas (Table 2). This gradient in drought-induced mortality translated into an order-of-magnitude difference in standing dead woody tree biomass. The low mortality class sites had on average 20 Mg ha</w:t>
      </w:r>
      <w:r w:rsidRPr="00A76EE4">
        <w:rPr>
          <w:vertAlign w:val="superscript"/>
        </w:rPr>
        <w:t>-1</w:t>
      </w:r>
      <w:r w:rsidRPr="00A76EE4">
        <w:t xml:space="preserve"> of woody biomass in drought-killed snags while the high mortality class sites had 176 Mg ha</w:t>
      </w:r>
      <w:r w:rsidRPr="00A76EE4">
        <w:rPr>
          <w:vertAlign w:val="superscript"/>
        </w:rPr>
        <w:t>-1</w:t>
      </w:r>
      <w:r w:rsidRPr="00A76EE4">
        <w:t xml:space="preserve"> of snag biomass (Table 1). </w:t>
      </w:r>
    </w:p>
    <w:p w14:paraId="220EE5FA" w14:textId="77777777" w:rsidR="00A76EE4" w:rsidRPr="00A76EE4" w:rsidRDefault="00A76EE4" w:rsidP="00A76EE4"/>
    <w:tbl>
      <w:tblPr>
        <w:tblW w:w="8440" w:type="dxa"/>
        <w:tblLook w:val="04A0" w:firstRow="1" w:lastRow="0" w:firstColumn="1" w:lastColumn="0" w:noHBand="0" w:noVBand="1"/>
      </w:tblPr>
      <w:tblGrid>
        <w:gridCol w:w="2080"/>
        <w:gridCol w:w="2200"/>
        <w:gridCol w:w="1960"/>
        <w:gridCol w:w="2200"/>
      </w:tblGrid>
      <w:tr w:rsidR="00A76EE4" w:rsidRPr="00A76EE4" w14:paraId="0924A3B2" w14:textId="77777777" w:rsidTr="00493639">
        <w:trPr>
          <w:trHeight w:val="288"/>
        </w:trPr>
        <w:tc>
          <w:tcPr>
            <w:tcW w:w="8440" w:type="dxa"/>
            <w:gridSpan w:val="4"/>
            <w:tcBorders>
              <w:top w:val="nil"/>
              <w:left w:val="nil"/>
              <w:bottom w:val="single" w:sz="18" w:space="0" w:color="auto"/>
              <w:right w:val="nil"/>
            </w:tcBorders>
            <w:shd w:val="clear" w:color="auto" w:fill="auto"/>
            <w:noWrap/>
            <w:vAlign w:val="center"/>
            <w:hideMark/>
          </w:tcPr>
          <w:p w14:paraId="30996E2E" w14:textId="77777777" w:rsidR="00A76EE4" w:rsidRPr="00A76EE4" w:rsidRDefault="00A76EE4" w:rsidP="00A76EE4">
            <w:pPr>
              <w:rPr>
                <w:i/>
                <w:iCs/>
              </w:rPr>
            </w:pPr>
            <w:r w:rsidRPr="00A76EE4">
              <w:rPr>
                <w:b/>
                <w:bCs/>
                <w:i/>
                <w:iCs/>
              </w:rPr>
              <w:t xml:space="preserve">Table 1. </w:t>
            </w:r>
            <w:r w:rsidRPr="00A76EE4">
              <w:rPr>
                <w:i/>
                <w:iCs/>
              </w:rPr>
              <w:t xml:space="preserve">Drought-induced mortality gradient at the intensive research site at Sequoia Kings Canyon National Park. </w:t>
            </w:r>
            <w:proofErr w:type="gramStart"/>
            <w:r w:rsidRPr="00A76EE4">
              <w:rPr>
                <w:i/>
                <w:iCs/>
              </w:rPr>
              <w:t>Snag</w:t>
            </w:r>
            <w:proofErr w:type="gramEnd"/>
            <w:r w:rsidRPr="00A76EE4">
              <w:rPr>
                <w:i/>
                <w:iCs/>
              </w:rPr>
              <w:t xml:space="preserve"> mass results from 2021 forest and fuel inventories. </w:t>
            </w:r>
            <w:r w:rsidRPr="00A76EE4">
              <w:rPr>
                <w:b/>
                <w:bCs/>
                <w:i/>
                <w:iCs/>
              </w:rPr>
              <w:t xml:space="preserve"> </w:t>
            </w:r>
          </w:p>
        </w:tc>
      </w:tr>
      <w:tr w:rsidR="00A76EE4" w:rsidRPr="00A76EE4" w14:paraId="2BE3D998" w14:textId="77777777" w:rsidTr="00493639">
        <w:trPr>
          <w:trHeight w:val="325"/>
        </w:trPr>
        <w:tc>
          <w:tcPr>
            <w:tcW w:w="2080" w:type="dxa"/>
            <w:tcBorders>
              <w:top w:val="single" w:sz="18" w:space="0" w:color="auto"/>
              <w:left w:val="nil"/>
              <w:bottom w:val="single" w:sz="8" w:space="0" w:color="auto"/>
              <w:right w:val="nil"/>
            </w:tcBorders>
            <w:shd w:val="clear" w:color="auto" w:fill="auto"/>
            <w:noWrap/>
            <w:vAlign w:val="bottom"/>
            <w:hideMark/>
          </w:tcPr>
          <w:p w14:paraId="5DA893FE" w14:textId="77777777" w:rsidR="00A76EE4" w:rsidRPr="00A76EE4" w:rsidRDefault="00A76EE4" w:rsidP="00A76EE4">
            <w:r w:rsidRPr="00A76EE4">
              <w:t>Mortality Class</w:t>
            </w:r>
          </w:p>
        </w:tc>
        <w:tc>
          <w:tcPr>
            <w:tcW w:w="2200" w:type="dxa"/>
            <w:tcBorders>
              <w:top w:val="single" w:sz="18" w:space="0" w:color="auto"/>
              <w:left w:val="nil"/>
              <w:bottom w:val="single" w:sz="8" w:space="0" w:color="auto"/>
              <w:right w:val="nil"/>
            </w:tcBorders>
            <w:shd w:val="clear" w:color="auto" w:fill="auto"/>
            <w:noWrap/>
            <w:vAlign w:val="bottom"/>
            <w:hideMark/>
          </w:tcPr>
          <w:p w14:paraId="2742572F" w14:textId="77777777" w:rsidR="00A76EE4" w:rsidRPr="00A76EE4" w:rsidRDefault="00A76EE4" w:rsidP="00A76EE4">
            <w:r w:rsidRPr="00A76EE4">
              <w:t>Area (ha)</w:t>
            </w:r>
          </w:p>
        </w:tc>
        <w:tc>
          <w:tcPr>
            <w:tcW w:w="1960" w:type="dxa"/>
            <w:tcBorders>
              <w:top w:val="single" w:sz="18" w:space="0" w:color="auto"/>
              <w:left w:val="nil"/>
              <w:bottom w:val="single" w:sz="8" w:space="0" w:color="auto"/>
              <w:right w:val="nil"/>
            </w:tcBorders>
            <w:shd w:val="clear" w:color="auto" w:fill="auto"/>
            <w:noWrap/>
            <w:vAlign w:val="bottom"/>
            <w:hideMark/>
          </w:tcPr>
          <w:p w14:paraId="37176CBC" w14:textId="77777777" w:rsidR="00A76EE4" w:rsidRPr="00A76EE4" w:rsidRDefault="00A76EE4" w:rsidP="00A76EE4">
            <w:r w:rsidRPr="00A76EE4">
              <w:t>Proportion (%)</w:t>
            </w:r>
          </w:p>
        </w:tc>
        <w:tc>
          <w:tcPr>
            <w:tcW w:w="2200" w:type="dxa"/>
            <w:tcBorders>
              <w:top w:val="single" w:sz="18" w:space="0" w:color="auto"/>
              <w:left w:val="nil"/>
              <w:bottom w:val="single" w:sz="8" w:space="0" w:color="auto"/>
              <w:right w:val="nil"/>
            </w:tcBorders>
            <w:shd w:val="clear" w:color="auto" w:fill="auto"/>
            <w:noWrap/>
            <w:vAlign w:val="bottom"/>
            <w:hideMark/>
          </w:tcPr>
          <w:p w14:paraId="18B326CA" w14:textId="77777777" w:rsidR="00A76EE4" w:rsidRPr="00A76EE4" w:rsidRDefault="00A76EE4" w:rsidP="00A76EE4">
            <w:r w:rsidRPr="00A76EE4">
              <w:t>Snag Mass (Mg ha</w:t>
            </w:r>
            <w:r w:rsidRPr="00A76EE4">
              <w:rPr>
                <w:vertAlign w:val="superscript"/>
              </w:rPr>
              <w:t>-1</w:t>
            </w:r>
            <w:r w:rsidRPr="00A76EE4">
              <w:t>)</w:t>
            </w:r>
          </w:p>
        </w:tc>
      </w:tr>
      <w:tr w:rsidR="00A76EE4" w:rsidRPr="00A76EE4" w14:paraId="7EA9F548" w14:textId="77777777" w:rsidTr="00493639">
        <w:trPr>
          <w:trHeight w:val="288"/>
        </w:trPr>
        <w:tc>
          <w:tcPr>
            <w:tcW w:w="2080" w:type="dxa"/>
            <w:tcBorders>
              <w:top w:val="single" w:sz="8" w:space="0" w:color="auto"/>
              <w:left w:val="nil"/>
              <w:bottom w:val="nil"/>
              <w:right w:val="nil"/>
            </w:tcBorders>
            <w:shd w:val="clear" w:color="auto" w:fill="auto"/>
            <w:noWrap/>
            <w:vAlign w:val="bottom"/>
            <w:hideMark/>
          </w:tcPr>
          <w:p w14:paraId="5F1F5743" w14:textId="77777777" w:rsidR="00A76EE4" w:rsidRPr="00A76EE4" w:rsidRDefault="00A76EE4" w:rsidP="00A76EE4">
            <w:r w:rsidRPr="00A76EE4">
              <w:t>High</w:t>
            </w:r>
          </w:p>
        </w:tc>
        <w:tc>
          <w:tcPr>
            <w:tcW w:w="2200" w:type="dxa"/>
            <w:tcBorders>
              <w:top w:val="single" w:sz="8" w:space="0" w:color="auto"/>
              <w:left w:val="nil"/>
              <w:bottom w:val="nil"/>
              <w:right w:val="nil"/>
            </w:tcBorders>
            <w:shd w:val="clear" w:color="auto" w:fill="auto"/>
            <w:noWrap/>
            <w:vAlign w:val="bottom"/>
            <w:hideMark/>
          </w:tcPr>
          <w:p w14:paraId="50638446" w14:textId="77777777" w:rsidR="00A76EE4" w:rsidRPr="00A76EE4" w:rsidRDefault="00A76EE4" w:rsidP="00A76EE4">
            <w:r w:rsidRPr="00A76EE4">
              <w:t>295</w:t>
            </w:r>
          </w:p>
        </w:tc>
        <w:tc>
          <w:tcPr>
            <w:tcW w:w="1960" w:type="dxa"/>
            <w:tcBorders>
              <w:top w:val="single" w:sz="8" w:space="0" w:color="auto"/>
              <w:left w:val="nil"/>
              <w:bottom w:val="nil"/>
              <w:right w:val="nil"/>
            </w:tcBorders>
            <w:shd w:val="clear" w:color="auto" w:fill="auto"/>
            <w:noWrap/>
            <w:vAlign w:val="bottom"/>
            <w:hideMark/>
          </w:tcPr>
          <w:p w14:paraId="14D65097" w14:textId="77777777" w:rsidR="00A76EE4" w:rsidRPr="00A76EE4" w:rsidRDefault="00A76EE4" w:rsidP="00A76EE4">
            <w:r w:rsidRPr="00A76EE4">
              <w:t>25</w:t>
            </w:r>
          </w:p>
        </w:tc>
        <w:tc>
          <w:tcPr>
            <w:tcW w:w="2200" w:type="dxa"/>
            <w:tcBorders>
              <w:top w:val="single" w:sz="8" w:space="0" w:color="auto"/>
              <w:left w:val="nil"/>
              <w:bottom w:val="nil"/>
              <w:right w:val="nil"/>
            </w:tcBorders>
            <w:shd w:val="clear" w:color="auto" w:fill="auto"/>
            <w:noWrap/>
            <w:vAlign w:val="bottom"/>
            <w:hideMark/>
          </w:tcPr>
          <w:p w14:paraId="7CDE7E8D" w14:textId="77777777" w:rsidR="00A76EE4" w:rsidRPr="00A76EE4" w:rsidRDefault="00A76EE4" w:rsidP="00A76EE4">
            <w:r w:rsidRPr="00A76EE4">
              <w:t>176</w:t>
            </w:r>
          </w:p>
        </w:tc>
      </w:tr>
      <w:tr w:rsidR="00A76EE4" w:rsidRPr="00A76EE4" w14:paraId="34E3EACF" w14:textId="77777777" w:rsidTr="00493639">
        <w:trPr>
          <w:trHeight w:val="288"/>
        </w:trPr>
        <w:tc>
          <w:tcPr>
            <w:tcW w:w="2080" w:type="dxa"/>
            <w:tcBorders>
              <w:top w:val="nil"/>
              <w:left w:val="nil"/>
              <w:bottom w:val="nil"/>
              <w:right w:val="nil"/>
            </w:tcBorders>
            <w:shd w:val="clear" w:color="auto" w:fill="auto"/>
            <w:noWrap/>
            <w:vAlign w:val="bottom"/>
            <w:hideMark/>
          </w:tcPr>
          <w:p w14:paraId="5933DA58" w14:textId="77777777" w:rsidR="00A76EE4" w:rsidRPr="00A76EE4" w:rsidRDefault="00A76EE4" w:rsidP="00A76EE4">
            <w:r w:rsidRPr="00A76EE4">
              <w:t>Moderate</w:t>
            </w:r>
          </w:p>
        </w:tc>
        <w:tc>
          <w:tcPr>
            <w:tcW w:w="2200" w:type="dxa"/>
            <w:tcBorders>
              <w:top w:val="nil"/>
              <w:left w:val="nil"/>
              <w:bottom w:val="nil"/>
              <w:right w:val="nil"/>
            </w:tcBorders>
            <w:shd w:val="clear" w:color="auto" w:fill="auto"/>
            <w:noWrap/>
            <w:vAlign w:val="bottom"/>
            <w:hideMark/>
          </w:tcPr>
          <w:p w14:paraId="354C404E" w14:textId="77777777" w:rsidR="00A76EE4" w:rsidRPr="00A76EE4" w:rsidRDefault="00A76EE4" w:rsidP="00A76EE4">
            <w:r w:rsidRPr="00A76EE4">
              <w:t>585</w:t>
            </w:r>
          </w:p>
        </w:tc>
        <w:tc>
          <w:tcPr>
            <w:tcW w:w="1960" w:type="dxa"/>
            <w:tcBorders>
              <w:top w:val="nil"/>
              <w:left w:val="nil"/>
              <w:bottom w:val="nil"/>
              <w:right w:val="nil"/>
            </w:tcBorders>
            <w:shd w:val="clear" w:color="auto" w:fill="auto"/>
            <w:noWrap/>
            <w:vAlign w:val="bottom"/>
            <w:hideMark/>
          </w:tcPr>
          <w:p w14:paraId="494BBE1C" w14:textId="77777777" w:rsidR="00A76EE4" w:rsidRPr="00A76EE4" w:rsidRDefault="00A76EE4" w:rsidP="00A76EE4">
            <w:r w:rsidRPr="00A76EE4">
              <w:t>50</w:t>
            </w:r>
          </w:p>
        </w:tc>
        <w:tc>
          <w:tcPr>
            <w:tcW w:w="2200" w:type="dxa"/>
            <w:tcBorders>
              <w:top w:val="nil"/>
              <w:left w:val="nil"/>
              <w:bottom w:val="nil"/>
              <w:right w:val="nil"/>
            </w:tcBorders>
            <w:shd w:val="clear" w:color="auto" w:fill="auto"/>
            <w:noWrap/>
            <w:vAlign w:val="bottom"/>
            <w:hideMark/>
          </w:tcPr>
          <w:p w14:paraId="79C926D6" w14:textId="77777777" w:rsidR="00A76EE4" w:rsidRPr="00A76EE4" w:rsidRDefault="00A76EE4" w:rsidP="00A76EE4">
            <w:r w:rsidRPr="00A76EE4">
              <w:t>77</w:t>
            </w:r>
          </w:p>
        </w:tc>
      </w:tr>
      <w:tr w:rsidR="00A76EE4" w:rsidRPr="00A76EE4" w14:paraId="572FE57A" w14:textId="77777777" w:rsidTr="00493639">
        <w:trPr>
          <w:trHeight w:val="288"/>
        </w:trPr>
        <w:tc>
          <w:tcPr>
            <w:tcW w:w="2080" w:type="dxa"/>
            <w:tcBorders>
              <w:top w:val="nil"/>
              <w:left w:val="nil"/>
              <w:bottom w:val="single" w:sz="8" w:space="0" w:color="auto"/>
              <w:right w:val="nil"/>
            </w:tcBorders>
            <w:shd w:val="clear" w:color="auto" w:fill="auto"/>
            <w:noWrap/>
            <w:vAlign w:val="bottom"/>
            <w:hideMark/>
          </w:tcPr>
          <w:p w14:paraId="26B3E5D6" w14:textId="77777777" w:rsidR="00A76EE4" w:rsidRPr="00A76EE4" w:rsidRDefault="00A76EE4" w:rsidP="00A76EE4">
            <w:r w:rsidRPr="00A76EE4">
              <w:t>Low</w:t>
            </w:r>
          </w:p>
        </w:tc>
        <w:tc>
          <w:tcPr>
            <w:tcW w:w="2200" w:type="dxa"/>
            <w:tcBorders>
              <w:top w:val="nil"/>
              <w:left w:val="nil"/>
              <w:bottom w:val="single" w:sz="8" w:space="0" w:color="auto"/>
              <w:right w:val="nil"/>
            </w:tcBorders>
            <w:shd w:val="clear" w:color="auto" w:fill="auto"/>
            <w:noWrap/>
            <w:vAlign w:val="bottom"/>
            <w:hideMark/>
          </w:tcPr>
          <w:p w14:paraId="5E850607" w14:textId="77777777" w:rsidR="00A76EE4" w:rsidRPr="00A76EE4" w:rsidRDefault="00A76EE4" w:rsidP="00A76EE4">
            <w:r w:rsidRPr="00A76EE4">
              <w:t>287</w:t>
            </w:r>
          </w:p>
        </w:tc>
        <w:tc>
          <w:tcPr>
            <w:tcW w:w="1960" w:type="dxa"/>
            <w:tcBorders>
              <w:top w:val="nil"/>
              <w:left w:val="nil"/>
              <w:bottom w:val="single" w:sz="8" w:space="0" w:color="auto"/>
              <w:right w:val="nil"/>
            </w:tcBorders>
            <w:shd w:val="clear" w:color="auto" w:fill="auto"/>
            <w:noWrap/>
            <w:vAlign w:val="bottom"/>
            <w:hideMark/>
          </w:tcPr>
          <w:p w14:paraId="304518BB" w14:textId="77777777" w:rsidR="00A76EE4" w:rsidRPr="00A76EE4" w:rsidRDefault="00A76EE4" w:rsidP="00A76EE4">
            <w:r w:rsidRPr="00A76EE4">
              <w:t>25</w:t>
            </w:r>
          </w:p>
        </w:tc>
        <w:tc>
          <w:tcPr>
            <w:tcW w:w="2200" w:type="dxa"/>
            <w:tcBorders>
              <w:top w:val="nil"/>
              <w:left w:val="nil"/>
              <w:bottom w:val="single" w:sz="8" w:space="0" w:color="auto"/>
              <w:right w:val="nil"/>
            </w:tcBorders>
            <w:shd w:val="clear" w:color="auto" w:fill="auto"/>
            <w:noWrap/>
            <w:vAlign w:val="bottom"/>
            <w:hideMark/>
          </w:tcPr>
          <w:p w14:paraId="65D27DC5" w14:textId="77777777" w:rsidR="00A76EE4" w:rsidRPr="00A76EE4" w:rsidRDefault="00A76EE4" w:rsidP="00A76EE4">
            <w:r w:rsidRPr="00A76EE4">
              <w:t>20</w:t>
            </w:r>
          </w:p>
        </w:tc>
      </w:tr>
    </w:tbl>
    <w:p w14:paraId="63835D46" w14:textId="77777777" w:rsidR="00A76EE4" w:rsidRPr="00A76EE4" w:rsidRDefault="00A76EE4" w:rsidP="00A76EE4"/>
    <w:p w14:paraId="419E2C1C" w14:textId="77777777" w:rsidR="00A76EE4" w:rsidRPr="00A76EE4" w:rsidRDefault="00A76EE4" w:rsidP="00A76EE4">
      <w:pPr>
        <w:rPr>
          <w:i/>
          <w:iCs/>
        </w:rPr>
      </w:pPr>
      <w:r w:rsidRPr="00A76EE4">
        <w:rPr>
          <w:b/>
          <w:bCs/>
          <w:i/>
          <w:iCs/>
        </w:rPr>
        <w:t>Table 2.</w:t>
      </w:r>
      <w:r w:rsidRPr="00A76EE4">
        <w:rPr>
          <w:i/>
          <w:iCs/>
        </w:rPr>
        <w:t xml:space="preserve"> Ground and surface fuel loads (Mg ha</w:t>
      </w:r>
      <w:r w:rsidRPr="00A76EE4">
        <w:rPr>
          <w:i/>
          <w:iCs/>
          <w:vertAlign w:val="superscript"/>
        </w:rPr>
        <w:t>-1</w:t>
      </w:r>
      <w:r w:rsidRPr="00A76EE4">
        <w:rPr>
          <w:i/>
          <w:iCs/>
        </w:rPr>
        <w:t xml:space="preserve">) by mortality class. Results for 2021 from the intensive research site at Sequoia Kings Canyon National Parks. </w:t>
      </w:r>
    </w:p>
    <w:p w14:paraId="6C0EF44D" w14:textId="77777777" w:rsidR="00A76EE4" w:rsidRPr="00A76EE4" w:rsidRDefault="00A76EE4" w:rsidP="00A76EE4">
      <w:r w:rsidRPr="00A76EE4">
        <w:drawing>
          <wp:inline distT="0" distB="0" distL="0" distR="0" wp14:anchorId="2CCCF941" wp14:editId="4E82FF1D">
            <wp:extent cx="6032776" cy="712074"/>
            <wp:effectExtent l="0" t="0" r="0" b="0"/>
            <wp:docPr id="1256068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70" t="19801" b="14238"/>
                    <a:stretch/>
                  </pic:blipFill>
                  <pic:spPr bwMode="auto">
                    <a:xfrm>
                      <a:off x="0" y="0"/>
                      <a:ext cx="6082774" cy="717975"/>
                    </a:xfrm>
                    <a:prstGeom prst="rect">
                      <a:avLst/>
                    </a:prstGeom>
                    <a:noFill/>
                    <a:ln>
                      <a:noFill/>
                    </a:ln>
                    <a:extLst>
                      <a:ext uri="{53640926-AAD7-44D8-BBD7-CCE9431645EC}">
                        <a14:shadowObscured xmlns:a14="http://schemas.microsoft.com/office/drawing/2010/main"/>
                      </a:ext>
                    </a:extLst>
                  </pic:spPr>
                </pic:pic>
              </a:graphicData>
            </a:graphic>
          </wp:inline>
        </w:drawing>
      </w:r>
    </w:p>
    <w:p w14:paraId="14BF2EC7" w14:textId="77777777" w:rsidR="00A76EE4" w:rsidRPr="00A76EE4" w:rsidRDefault="00A76EE4" w:rsidP="00A76EE4"/>
    <w:p w14:paraId="05724510" w14:textId="77777777" w:rsidR="00A76EE4" w:rsidRPr="00A76EE4" w:rsidRDefault="00A76EE4" w:rsidP="00A76EE4">
      <w:r w:rsidRPr="00A76EE4">
        <w:t>The contemporary fuel loads across the mortality gradient in the AOI are among the highest observed in the Sierra Nevada (Table 2, Vilanova et al. 2024). Total fuel loads (ground and surface) ranged from 133.4 Mg ha</w:t>
      </w:r>
      <w:r w:rsidRPr="00A76EE4">
        <w:rPr>
          <w:vertAlign w:val="superscript"/>
        </w:rPr>
        <w:t>-1</w:t>
      </w:r>
      <w:r w:rsidRPr="00A76EE4">
        <w:t xml:space="preserve"> in the low mortality stands to 161.8 Mg ha</w:t>
      </w:r>
      <w:r w:rsidRPr="00A76EE4">
        <w:rPr>
          <w:vertAlign w:val="superscript"/>
        </w:rPr>
        <w:t xml:space="preserve">-1 </w:t>
      </w:r>
      <w:r w:rsidRPr="00A76EE4">
        <w:t>in the medium mortality stands. However, across all mortality classes, so called heavy fuels (duff and 1000+hr) account for more than 2/3 of the total fuel load (69% to 74%) with duff and 1000+hr fuels contributing equal proportions. In absolute terms, woody fuel loads range from 68.1 Mg ha</w:t>
      </w:r>
      <w:r w:rsidRPr="00A76EE4">
        <w:rPr>
          <w:vertAlign w:val="superscript"/>
        </w:rPr>
        <w:t>-1</w:t>
      </w:r>
      <w:r w:rsidRPr="00A76EE4">
        <w:t xml:space="preserve"> in the medium mortality class stands to 54.5 Mg ha</w:t>
      </w:r>
      <w:r w:rsidRPr="00A76EE4">
        <w:rPr>
          <w:vertAlign w:val="superscript"/>
        </w:rPr>
        <w:t xml:space="preserve">-1 </w:t>
      </w:r>
      <w:r w:rsidRPr="00A76EE4">
        <w:t xml:space="preserve">in the low mortality class stands (Table 2). </w:t>
      </w:r>
    </w:p>
    <w:p w14:paraId="0BD03635" w14:textId="77777777" w:rsidR="00A76EE4" w:rsidRPr="00A76EE4" w:rsidRDefault="00A76EE4" w:rsidP="00A76EE4">
      <w:r w:rsidRPr="00A76EE4">
        <w:t xml:space="preserve">Woody fuel input from snag </w:t>
      </w:r>
      <w:proofErr w:type="gramStart"/>
      <w:r w:rsidRPr="00A76EE4">
        <w:t>fall</w:t>
      </w:r>
      <w:proofErr w:type="gramEnd"/>
      <w:r w:rsidRPr="00A76EE4">
        <w:t xml:space="preserve"> and degradation in the high mortality sites increased the woody fuel load from 60.7 Mg ha</w:t>
      </w:r>
      <w:r w:rsidRPr="00A76EE4">
        <w:rPr>
          <w:vertAlign w:val="superscript"/>
        </w:rPr>
        <w:t>−1</w:t>
      </w:r>
      <w:r w:rsidRPr="00A76EE4">
        <w:t xml:space="preserve"> in 2021 to 100.7 Mg ha</w:t>
      </w:r>
      <w:r w:rsidRPr="00A76EE4">
        <w:rPr>
          <w:vertAlign w:val="superscript"/>
        </w:rPr>
        <w:t>−1</w:t>
      </w:r>
      <w:r w:rsidRPr="00A76EE4">
        <w:t xml:space="preserve"> in 2030 – an increase of 40 Mg ha</w:t>
      </w:r>
      <w:r w:rsidRPr="00A76EE4">
        <w:rPr>
          <w:vertAlign w:val="superscript"/>
        </w:rPr>
        <w:t>−1</w:t>
      </w:r>
      <w:r w:rsidRPr="00A76EE4">
        <w:t xml:space="preserve"> (Figure 3).  In contrast, the net increase in woody fuel load in the low mortality sites was only 2.3 Mg ha</w:t>
      </w:r>
      <w:r w:rsidRPr="00A76EE4">
        <w:rPr>
          <w:vertAlign w:val="superscript"/>
        </w:rPr>
        <w:t>−1</w:t>
      </w:r>
      <w:r w:rsidRPr="00A76EE4">
        <w:t xml:space="preserve">.  Note that these predictions of woody fuel accumulation not only account for the decay of snags with </w:t>
      </w:r>
      <w:r w:rsidRPr="00A76EE4">
        <w:lastRenderedPageBreak/>
        <w:t>time (Northrup et al. 2024) but also account for the decay of downed wood using estimates of loss rates from Harmon et al. (2005). Woody fuel inputs for all mortality classes peaked between 2031 (moderate mortality) and 2034 (low mortality). The maximum fuel observed was 146 Mg ha</w:t>
      </w:r>
      <w:r w:rsidRPr="00A76EE4">
        <w:rPr>
          <w:vertAlign w:val="superscript"/>
        </w:rPr>
        <w:t>− 1</w:t>
      </w:r>
      <w:r w:rsidRPr="00A76EE4">
        <w:t xml:space="preserve"> in 2039 in the high mortality sites (Figure 4). </w:t>
      </w:r>
    </w:p>
    <w:p w14:paraId="4DBC35FE" w14:textId="77777777" w:rsidR="00A76EE4" w:rsidRPr="00A76EE4" w:rsidRDefault="00A76EE4" w:rsidP="00A76EE4"/>
    <w:p w14:paraId="48702797" w14:textId="77777777" w:rsidR="00A76EE4" w:rsidRPr="00A76EE4" w:rsidRDefault="00A76EE4" w:rsidP="00A76EE4">
      <w:r w:rsidRPr="00A76EE4">
        <w:rPr>
          <w:i/>
          <w:iCs/>
        </w:rPr>
        <w:drawing>
          <wp:anchor distT="0" distB="0" distL="114300" distR="114300" simplePos="0" relativeHeight="251659264" behindDoc="0" locked="0" layoutInCell="1" allowOverlap="1" wp14:anchorId="1281E6D6" wp14:editId="1C81576B">
            <wp:simplePos x="0" y="0"/>
            <wp:positionH relativeFrom="column">
              <wp:posOffset>-101600</wp:posOffset>
            </wp:positionH>
            <wp:positionV relativeFrom="paragraph">
              <wp:posOffset>0</wp:posOffset>
            </wp:positionV>
            <wp:extent cx="5943600" cy="4457700"/>
            <wp:effectExtent l="19050" t="19050" r="19050" b="19050"/>
            <wp:wrapTopAndBottom/>
            <wp:docPr id="1254464159" name="Picture 2"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64159" name="Picture 2" descr="A graph of a number of peopl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a:ln>
                      <a:solidFill>
                        <a:schemeClr val="tx1"/>
                      </a:solidFill>
                    </a:ln>
                  </pic:spPr>
                </pic:pic>
              </a:graphicData>
            </a:graphic>
          </wp:anchor>
        </w:drawing>
      </w:r>
      <w:r w:rsidRPr="00A76EE4">
        <w:rPr>
          <w:b/>
          <w:bCs/>
          <w:i/>
          <w:iCs/>
        </w:rPr>
        <w:t>Figure 4.</w:t>
      </w:r>
      <w:r w:rsidRPr="00A76EE4">
        <w:rPr>
          <w:i/>
          <w:iCs/>
        </w:rPr>
        <w:t xml:space="preserve"> Forecasted biomass inputs over time based on standing snags in 2021 and model predictions by Mortality Class, based on median modeled fall rates and wood decay rates. Bars depict forecasted annual biomass input from snag fall, the error bars depict standard error of annual biomass input, and the lines depict total woody fuel load. Mortality classes defined as: High &gt; 18% cumulative mortality; Medium = 7-18% cumulative mortality, and Low = &lt; 7% cumulative mortality</w:t>
      </w:r>
      <w:r w:rsidRPr="00A76EE4">
        <w:t xml:space="preserve">. </w:t>
      </w:r>
    </w:p>
    <w:p w14:paraId="0992E801" w14:textId="77777777" w:rsidR="00BB3811" w:rsidRDefault="00BB3811"/>
    <w:sectPr w:rsidR="00BB38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Daniel Foster" w:date="2022-11-29T09:51:00Z" w:initials="DF">
    <w:p w14:paraId="290355C6" w14:textId="77777777" w:rsidR="00A76EE4" w:rsidRDefault="00A76EE4" w:rsidP="00A76EE4">
      <w:pPr>
        <w:pStyle w:val="CommentText"/>
      </w:pPr>
      <w:r>
        <w:rPr>
          <w:rStyle w:val="CommentReference"/>
        </w:rPr>
        <w:annotationRef/>
      </w:r>
      <w:r>
        <w:t>JJB: map?</w:t>
      </w:r>
    </w:p>
  </w:comment>
  <w:comment w:id="2" w:author="Daniel Foster" w:date="2022-11-29T09:51:00Z" w:initials="DF">
    <w:p w14:paraId="7FFE65B7" w14:textId="77777777" w:rsidR="00A76EE4" w:rsidRDefault="00A76EE4" w:rsidP="00A76EE4">
      <w:pPr>
        <w:pStyle w:val="CommentText"/>
      </w:pPr>
      <w:r>
        <w:rPr>
          <w:rStyle w:val="CommentReference"/>
        </w:rPr>
        <w:annotationRef/>
      </w:r>
      <w:r>
        <w:t>revised</w:t>
      </w:r>
    </w:p>
  </w:comment>
  <w:comment w:id="3" w:author="Daniel Foster" w:date="2022-11-29T09:56:00Z" w:initials="DF">
    <w:p w14:paraId="5D91270C" w14:textId="77777777" w:rsidR="00A76EE4" w:rsidRDefault="00A76EE4" w:rsidP="00A76EE4">
      <w:pPr>
        <w:pStyle w:val="CommentText"/>
      </w:pPr>
      <w:r>
        <w:rPr>
          <w:rStyle w:val="CommentReference"/>
        </w:rPr>
        <w:annotationRef/>
      </w:r>
      <w:r>
        <w:t>This isnt capitalized in the literature that I see</w:t>
      </w:r>
    </w:p>
  </w:comment>
  <w:comment w:id="4" w:author="Daniel Foster" w:date="2022-11-29T09:57:00Z" w:initials="DF">
    <w:p w14:paraId="2493E415" w14:textId="77777777" w:rsidR="00A76EE4" w:rsidRDefault="00A76EE4" w:rsidP="00A76EE4">
      <w:pPr>
        <w:pStyle w:val="CommentText"/>
      </w:pPr>
      <w:r>
        <w:rPr>
          <w:rStyle w:val="CommentReference"/>
        </w:rPr>
        <w:annotationRef/>
      </w:r>
      <w:r>
        <w:t xml:space="preserve">JJB: Super brief. Again extremely limited context for the drought strata. </w:t>
      </w:r>
    </w:p>
  </w:comment>
  <w:comment w:id="5" w:author="Daniel Foster" w:date="2022-11-30T09:48:00Z" w:initials="DF">
    <w:p w14:paraId="58A1C29C" w14:textId="77777777" w:rsidR="00A76EE4" w:rsidRDefault="00A76EE4" w:rsidP="00A76EE4">
      <w:pPr>
        <w:pStyle w:val="CommentText"/>
      </w:pPr>
      <w:r>
        <w:rPr>
          <w:rStyle w:val="CommentReference"/>
        </w:rPr>
        <w:annotationRef/>
      </w:r>
      <w:r>
        <w:t>I think the brevity is OK here with the more fleshed-out drought paragraph above</w:t>
      </w:r>
    </w:p>
  </w:comment>
  <w:comment w:id="7" w:author="Daniel Foster" w:date="2022-11-29T15:36:00Z" w:initials="DF">
    <w:p w14:paraId="50B3B15D" w14:textId="77777777" w:rsidR="00A76EE4" w:rsidRDefault="00A76EE4" w:rsidP="00A76EE4">
      <w:pPr>
        <w:pStyle w:val="CommentText"/>
      </w:pPr>
      <w:r>
        <w:rPr>
          <w:rStyle w:val="CommentReference"/>
        </w:rPr>
        <w:annotationRef/>
      </w:r>
      <w:r>
        <w:t>JJB: Confusing 2012-2016 in text</w:t>
      </w:r>
    </w:p>
  </w:comment>
  <w:comment w:id="8" w:author="Daniel Foster" w:date="2022-11-29T15:36:00Z" w:initials="DF">
    <w:p w14:paraId="18A81CB2" w14:textId="77777777" w:rsidR="00A76EE4" w:rsidRDefault="00A76EE4" w:rsidP="00A76EE4">
      <w:pPr>
        <w:pStyle w:val="CommentText"/>
      </w:pPr>
      <w:r>
        <w:rPr>
          <w:rStyle w:val="CommentReference"/>
        </w:rPr>
        <w:annotationRef/>
      </w:r>
      <w:r>
        <w:t>revised</w:t>
      </w:r>
    </w:p>
  </w:comment>
  <w:comment w:id="9" w:author="Daniel Foster [2]" w:date="2022-11-18T10:10:00Z" w:initials="DF">
    <w:p w14:paraId="04619F53" w14:textId="77777777" w:rsidR="00A76EE4" w:rsidRDefault="00A76EE4" w:rsidP="00A76EE4">
      <w:pPr>
        <w:pStyle w:val="CommentText"/>
      </w:pPr>
      <w:r>
        <w:rPr>
          <w:rStyle w:val="CommentReference"/>
        </w:rPr>
        <w:annotationRef/>
      </w:r>
      <w:r>
        <w:rPr>
          <w:color w:val="000000"/>
        </w:rPr>
        <w:t>The phrasing and sequencing of information in this paragraph was slightly non-intuitive.  The paragraph describes your method for selecting plot locations.  That feels different from “field crews installed”, which might rather be come at the 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90355C6" w15:done="1"/>
  <w15:commentEx w15:paraId="7FFE65B7" w15:paraIdParent="290355C6" w15:done="1"/>
  <w15:commentEx w15:paraId="5D91270C" w15:done="1"/>
  <w15:commentEx w15:paraId="2493E415" w15:done="1"/>
  <w15:commentEx w15:paraId="58A1C29C" w15:paraIdParent="2493E415" w15:done="1"/>
  <w15:commentEx w15:paraId="50B3B15D" w15:done="1"/>
  <w15:commentEx w15:paraId="18A81CB2" w15:paraIdParent="50B3B15D" w15:done="1"/>
  <w15:commentEx w15:paraId="04619F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3054B3" w16cex:dateUtc="2022-11-29T17:51:00Z"/>
  <w16cex:commentExtensible w16cex:durableId="273054B7" w16cex:dateUtc="2022-11-29T17:51:00Z"/>
  <w16cex:commentExtensible w16cex:durableId="273055BB" w16cex:dateUtc="2022-11-29T17:56:00Z"/>
  <w16cex:commentExtensible w16cex:durableId="273055ED" w16cex:dateUtc="2022-11-29T17:57:00Z"/>
  <w16cex:commentExtensible w16cex:durableId="2731A585" w16cex:dateUtc="2022-11-30T17:48:00Z"/>
  <w16cex:commentExtensible w16cex:durableId="2730A58A" w16cex:dateUtc="2022-11-29T23:36:00Z"/>
  <w16cex:commentExtensible w16cex:durableId="2730A58E" w16cex:dateUtc="2022-11-29T23:36:00Z"/>
  <w16cex:commentExtensible w16cex:durableId="2721D88C" w16cex:dateUtc="2022-11-18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0355C6" w16cid:durableId="273054B3"/>
  <w16cid:commentId w16cid:paraId="7FFE65B7" w16cid:durableId="273054B7"/>
  <w16cid:commentId w16cid:paraId="5D91270C" w16cid:durableId="273055BB"/>
  <w16cid:commentId w16cid:paraId="2493E415" w16cid:durableId="273055ED"/>
  <w16cid:commentId w16cid:paraId="58A1C29C" w16cid:durableId="2731A585"/>
  <w16cid:commentId w16cid:paraId="50B3B15D" w16cid:durableId="2730A58A"/>
  <w16cid:commentId w16cid:paraId="18A81CB2" w16cid:durableId="2730A58E"/>
  <w16cid:commentId w16cid:paraId="04619F53" w16cid:durableId="2721D8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Foster">
    <w15:presenceInfo w15:providerId="AD" w15:userId="S::danfoster@BERKELEY.EDU::39da4bd2-b112-4c8a-8913-adec09203b77"/>
  </w15:person>
  <w15:person w15:author="Daniel Foster [2]">
    <w15:presenceInfo w15:providerId="None" w15:userId="Daniel Fos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E4"/>
    <w:rsid w:val="000C0E21"/>
    <w:rsid w:val="000E762B"/>
    <w:rsid w:val="0025200F"/>
    <w:rsid w:val="00495D97"/>
    <w:rsid w:val="00620F9F"/>
    <w:rsid w:val="006346DF"/>
    <w:rsid w:val="00971183"/>
    <w:rsid w:val="00A01B0E"/>
    <w:rsid w:val="00A72355"/>
    <w:rsid w:val="00A76EE4"/>
    <w:rsid w:val="00BB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E42A"/>
  <w15:chartTrackingRefBased/>
  <w15:docId w15:val="{A6AF5D27-9B07-40BD-9380-607FA2A7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EE4"/>
    <w:rPr>
      <w:rFonts w:eastAsiaTheme="majorEastAsia" w:cstheme="majorBidi"/>
      <w:color w:val="272727" w:themeColor="text1" w:themeTint="D8"/>
    </w:rPr>
  </w:style>
  <w:style w:type="paragraph" w:styleId="Title">
    <w:name w:val="Title"/>
    <w:basedOn w:val="Normal"/>
    <w:next w:val="Normal"/>
    <w:link w:val="TitleChar"/>
    <w:uiPriority w:val="10"/>
    <w:qFormat/>
    <w:rsid w:val="00A76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EE4"/>
    <w:pPr>
      <w:spacing w:before="160"/>
      <w:jc w:val="center"/>
    </w:pPr>
    <w:rPr>
      <w:i/>
      <w:iCs/>
      <w:color w:val="404040" w:themeColor="text1" w:themeTint="BF"/>
    </w:rPr>
  </w:style>
  <w:style w:type="character" w:customStyle="1" w:styleId="QuoteChar">
    <w:name w:val="Quote Char"/>
    <w:basedOn w:val="DefaultParagraphFont"/>
    <w:link w:val="Quote"/>
    <w:uiPriority w:val="29"/>
    <w:rsid w:val="00A76EE4"/>
    <w:rPr>
      <w:i/>
      <w:iCs/>
      <w:color w:val="404040" w:themeColor="text1" w:themeTint="BF"/>
    </w:rPr>
  </w:style>
  <w:style w:type="paragraph" w:styleId="ListParagraph">
    <w:name w:val="List Paragraph"/>
    <w:basedOn w:val="Normal"/>
    <w:uiPriority w:val="34"/>
    <w:qFormat/>
    <w:rsid w:val="00A76EE4"/>
    <w:pPr>
      <w:ind w:left="720"/>
      <w:contextualSpacing/>
    </w:pPr>
  </w:style>
  <w:style w:type="character" w:styleId="IntenseEmphasis">
    <w:name w:val="Intense Emphasis"/>
    <w:basedOn w:val="DefaultParagraphFont"/>
    <w:uiPriority w:val="21"/>
    <w:qFormat/>
    <w:rsid w:val="00A76EE4"/>
    <w:rPr>
      <w:i/>
      <w:iCs/>
      <w:color w:val="0F4761" w:themeColor="accent1" w:themeShade="BF"/>
    </w:rPr>
  </w:style>
  <w:style w:type="paragraph" w:styleId="IntenseQuote">
    <w:name w:val="Intense Quote"/>
    <w:basedOn w:val="Normal"/>
    <w:next w:val="Normal"/>
    <w:link w:val="IntenseQuoteChar"/>
    <w:uiPriority w:val="30"/>
    <w:qFormat/>
    <w:rsid w:val="00A76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EE4"/>
    <w:rPr>
      <w:i/>
      <w:iCs/>
      <w:color w:val="0F4761" w:themeColor="accent1" w:themeShade="BF"/>
    </w:rPr>
  </w:style>
  <w:style w:type="character" w:styleId="IntenseReference">
    <w:name w:val="Intense Reference"/>
    <w:basedOn w:val="DefaultParagraphFont"/>
    <w:uiPriority w:val="32"/>
    <w:qFormat/>
    <w:rsid w:val="00A76EE4"/>
    <w:rPr>
      <w:b/>
      <w:bCs/>
      <w:smallCaps/>
      <w:color w:val="0F4761" w:themeColor="accent1" w:themeShade="BF"/>
      <w:spacing w:val="5"/>
    </w:rPr>
  </w:style>
  <w:style w:type="character" w:styleId="CommentReference">
    <w:name w:val="annotation reference"/>
    <w:basedOn w:val="DefaultParagraphFont"/>
    <w:uiPriority w:val="99"/>
    <w:semiHidden/>
    <w:unhideWhenUsed/>
    <w:rsid w:val="00A76EE4"/>
    <w:rPr>
      <w:sz w:val="16"/>
      <w:szCs w:val="16"/>
    </w:rPr>
  </w:style>
  <w:style w:type="paragraph" w:styleId="CommentText">
    <w:name w:val="annotation text"/>
    <w:basedOn w:val="Normal"/>
    <w:link w:val="CommentTextChar"/>
    <w:uiPriority w:val="99"/>
    <w:unhideWhenUsed/>
    <w:rsid w:val="00A76EE4"/>
    <w:pPr>
      <w:spacing w:line="240" w:lineRule="auto"/>
    </w:pPr>
    <w:rPr>
      <w:sz w:val="20"/>
      <w:szCs w:val="20"/>
    </w:rPr>
  </w:style>
  <w:style w:type="character" w:customStyle="1" w:styleId="CommentTextChar">
    <w:name w:val="Comment Text Char"/>
    <w:basedOn w:val="DefaultParagraphFont"/>
    <w:link w:val="CommentText"/>
    <w:uiPriority w:val="99"/>
    <w:rsid w:val="00A76EE4"/>
    <w:rPr>
      <w:sz w:val="20"/>
      <w:szCs w:val="20"/>
    </w:rPr>
  </w:style>
  <w:style w:type="character" w:styleId="Hyperlink">
    <w:name w:val="Hyperlink"/>
    <w:basedOn w:val="DefaultParagraphFont"/>
    <w:uiPriority w:val="99"/>
    <w:unhideWhenUsed/>
    <w:rsid w:val="00A76EE4"/>
    <w:rPr>
      <w:color w:val="467886" w:themeColor="hyperlink"/>
      <w:u w:val="single"/>
    </w:rPr>
  </w:style>
  <w:style w:type="character" w:styleId="UnresolvedMention">
    <w:name w:val="Unresolved Mention"/>
    <w:basedOn w:val="DefaultParagraphFont"/>
    <w:uiPriority w:val="99"/>
    <w:semiHidden/>
    <w:unhideWhenUsed/>
    <w:rsid w:val="00A76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fs.usda.gov/fvs/" TargetMode="External"/><Relationship Id="rId11" Type="http://schemas.openxmlformats.org/officeDocument/2006/relationships/image" Target="media/image2.png"/><Relationship Id="rId5" Type="http://schemas.openxmlformats.org/officeDocument/2006/relationships/image" Target="media/image1.jpeg"/><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145D4-6DE2-4731-ACE9-1C2F26DE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6104</Words>
  <Characters>34799</Characters>
  <Application>Microsoft Office Word</Application>
  <DocSecurity>0</DocSecurity>
  <Lines>289</Lines>
  <Paragraphs>81</Paragraphs>
  <ScaleCrop>false</ScaleCrop>
  <Company/>
  <LinksUpToDate>false</LinksUpToDate>
  <CharactersWithSpaces>40822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Romsos</dc:creator>
  <cp:keywords/>
  <dc:description/>
  <cp:lastModifiedBy>Shane Romsos</cp:lastModifiedBy>
  <cp:revision>1</cp:revision>
  <dcterms:created xsi:type="dcterms:W3CDTF">2024-08-30T00:38:00Z</dcterms:created>
  <dcterms:modified xsi:type="dcterms:W3CDTF">2024-08-30T00:40:00Z</dcterms:modified>
</cp:coreProperties>
</file>